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autoSpaceDE/>
        <w:autoSpaceDN/>
        <w:bidi w:val="0"/>
        <w:adjustRightInd/>
        <w:snapToGrid w:val="0"/>
        <w:spacing w:line="600" w:lineRule="exact"/>
        <w:jc w:val="both"/>
        <w:textAlignment w:val="auto"/>
        <w:rPr>
          <w:rFonts w:hint="eastAsia" w:ascii="方正小标宋简体" w:hAnsi="方正小标宋简体" w:eastAsia="方正小标宋简体" w:cs="方正小标宋简体"/>
          <w:b w:val="0"/>
          <w:bCs w:val="0"/>
          <w:snapToGrid w:val="0"/>
          <w:sz w:val="32"/>
          <w:szCs w:val="32"/>
          <w:lang w:val="en-US" w:eastAsia="zh-CN"/>
        </w:rPr>
      </w:pPr>
      <w:r>
        <w:rPr>
          <w:rFonts w:hint="eastAsia" w:ascii="黑体" w:hAnsi="黑体" w:eastAsia="黑体" w:cs="黑体"/>
          <w:b w:val="0"/>
          <w:bCs w:val="0"/>
          <w:snapToGrid w:val="0"/>
          <w:sz w:val="32"/>
          <w:szCs w:val="32"/>
          <w:lang w:val="en-US" w:eastAsia="zh-CN"/>
        </w:rPr>
        <w:t>附件</w:t>
      </w:r>
    </w:p>
    <w:p>
      <w:pPr>
        <w:keepNext w:val="0"/>
        <w:keepLines w:val="0"/>
        <w:pageBreakBefore w:val="0"/>
        <w:widowControl w:val="0"/>
        <w:wordWrap/>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napToGrid w:val="0"/>
          <w:sz w:val="44"/>
          <w:szCs w:val="44"/>
          <w:lang w:val="en-US" w:eastAsia="zh-CN"/>
        </w:rPr>
      </w:pPr>
    </w:p>
    <w:p>
      <w:pPr>
        <w:keepNext w:val="0"/>
        <w:keepLines w:val="0"/>
        <w:pageBreakBefore w:val="0"/>
        <w:widowControl w:val="0"/>
        <w:wordWrap/>
        <w:topLinePunct w:val="0"/>
        <w:autoSpaceDE/>
        <w:autoSpaceDN/>
        <w:bidi w:val="0"/>
        <w:adjustRightInd/>
        <w:snapToGrid w:val="0"/>
        <w:spacing w:line="600" w:lineRule="exact"/>
        <w:jc w:val="center"/>
        <w:textAlignment w:val="auto"/>
        <w:rPr>
          <w:rFonts w:hint="eastAsia" w:ascii="方正大标宋简体" w:hAnsi="方正大标宋简体" w:eastAsia="方正大标宋简体" w:cs="方正大标宋简体"/>
          <w:b/>
          <w:bCs/>
          <w:snapToGrid w:val="0"/>
          <w:sz w:val="44"/>
          <w:szCs w:val="44"/>
        </w:rPr>
      </w:pPr>
      <w:r>
        <w:rPr>
          <w:rFonts w:hint="eastAsia" w:ascii="方正大标宋简体" w:hAnsi="方正大标宋简体" w:eastAsia="方正大标宋简体" w:cs="方正大标宋简体"/>
          <w:b/>
          <w:bCs/>
          <w:snapToGrid w:val="0"/>
          <w:sz w:val="44"/>
          <w:szCs w:val="44"/>
          <w:lang w:val="en-US" w:eastAsia="zh-CN"/>
        </w:rPr>
        <w:t>关于划定</w:t>
      </w:r>
      <w:r>
        <w:rPr>
          <w:rFonts w:hint="eastAsia" w:ascii="方正大标宋简体" w:hAnsi="方正大标宋简体" w:eastAsia="方正大标宋简体" w:cs="方正大标宋简体"/>
          <w:b/>
          <w:bCs/>
          <w:snapToGrid w:val="0"/>
          <w:sz w:val="44"/>
          <w:szCs w:val="44"/>
        </w:rPr>
        <w:t>台儿庄</w:t>
      </w:r>
      <w:r>
        <w:rPr>
          <w:rFonts w:hint="eastAsia" w:ascii="方正大标宋简体" w:hAnsi="方正大标宋简体" w:eastAsia="方正大标宋简体" w:cs="方正大标宋简体"/>
          <w:b/>
          <w:bCs/>
          <w:snapToGrid w:val="0"/>
          <w:sz w:val="44"/>
          <w:szCs w:val="44"/>
          <w:lang w:val="en-US" w:eastAsia="zh-CN"/>
        </w:rPr>
        <w:t>节制闸</w:t>
      </w:r>
      <w:r>
        <w:rPr>
          <w:rFonts w:hint="eastAsia" w:ascii="方正大标宋简体" w:hAnsi="方正大标宋简体" w:eastAsia="方正大标宋简体" w:cs="方正大标宋简体"/>
          <w:b/>
          <w:bCs/>
          <w:snapToGrid w:val="0"/>
          <w:sz w:val="44"/>
          <w:szCs w:val="44"/>
        </w:rPr>
        <w:t>、万年闸</w:t>
      </w:r>
      <w:r>
        <w:rPr>
          <w:rFonts w:hint="eastAsia" w:ascii="方正大标宋简体" w:hAnsi="方正大标宋简体" w:eastAsia="方正大标宋简体" w:cs="方正大标宋简体"/>
          <w:b/>
          <w:bCs/>
          <w:snapToGrid w:val="0"/>
          <w:sz w:val="44"/>
          <w:szCs w:val="44"/>
          <w:lang w:val="en-US" w:eastAsia="zh-CN"/>
        </w:rPr>
        <w:t>节制闸</w:t>
      </w:r>
      <w:r>
        <w:rPr>
          <w:rFonts w:hint="eastAsia" w:ascii="方正大标宋简体" w:hAnsi="方正大标宋简体" w:eastAsia="方正大标宋简体" w:cs="方正大标宋简体"/>
          <w:b/>
          <w:bCs/>
          <w:snapToGrid w:val="0"/>
          <w:sz w:val="44"/>
          <w:szCs w:val="44"/>
        </w:rPr>
        <w:t>、</w:t>
      </w:r>
    </w:p>
    <w:p>
      <w:pPr>
        <w:keepNext w:val="0"/>
        <w:keepLines w:val="0"/>
        <w:pageBreakBefore w:val="0"/>
        <w:widowControl w:val="0"/>
        <w:wordWrap/>
        <w:topLinePunct w:val="0"/>
        <w:autoSpaceDE/>
        <w:autoSpaceDN/>
        <w:bidi w:val="0"/>
        <w:adjustRightInd/>
        <w:snapToGrid w:val="0"/>
        <w:spacing w:line="600" w:lineRule="exact"/>
        <w:jc w:val="center"/>
        <w:textAlignment w:val="auto"/>
        <w:rPr>
          <w:rFonts w:hint="eastAsia" w:ascii="方正大标宋简体" w:hAnsi="方正大标宋简体" w:eastAsia="方正大标宋简体" w:cs="方正大标宋简体"/>
          <w:b/>
          <w:bCs/>
          <w:snapToGrid w:val="0"/>
          <w:sz w:val="44"/>
          <w:szCs w:val="44"/>
          <w:lang w:val="en-US" w:eastAsia="zh-CN"/>
        </w:rPr>
      </w:pPr>
      <w:r>
        <w:rPr>
          <w:rFonts w:hint="eastAsia" w:ascii="方正大标宋简体" w:hAnsi="方正大标宋简体" w:eastAsia="方正大标宋简体" w:cs="方正大标宋简体"/>
          <w:b/>
          <w:bCs/>
          <w:snapToGrid w:val="0"/>
          <w:sz w:val="44"/>
          <w:szCs w:val="44"/>
          <w:lang w:eastAsia="zh-CN"/>
        </w:rPr>
        <w:t>刘</w:t>
      </w:r>
      <w:r>
        <w:rPr>
          <w:rFonts w:hint="eastAsia" w:ascii="方正大标宋简体" w:hAnsi="方正大标宋简体" w:eastAsia="方正大标宋简体" w:cs="方正大标宋简体"/>
          <w:b/>
          <w:bCs/>
          <w:snapToGrid w:val="0"/>
          <w:sz w:val="44"/>
          <w:szCs w:val="44"/>
        </w:rPr>
        <w:t>庄节制闸管理范围和保护范围</w:t>
      </w:r>
      <w:r>
        <w:rPr>
          <w:rFonts w:hint="eastAsia" w:ascii="方正大标宋简体" w:hAnsi="方正大标宋简体" w:eastAsia="方正大标宋简体" w:cs="方正大标宋简体"/>
          <w:b/>
          <w:bCs/>
          <w:snapToGrid w:val="0"/>
          <w:sz w:val="44"/>
          <w:szCs w:val="44"/>
          <w:lang w:val="en-US" w:eastAsia="zh-CN"/>
        </w:rPr>
        <w:t>的通告</w:t>
      </w:r>
    </w:p>
    <w:p>
      <w:pPr>
        <w:keepNext w:val="0"/>
        <w:keepLines w:val="0"/>
        <w:pageBreakBefore w:val="0"/>
        <w:widowControl w:val="0"/>
        <w:wordWrap/>
        <w:topLinePunct w:val="0"/>
        <w:autoSpaceDE/>
        <w:autoSpaceDN/>
        <w:bidi w:val="0"/>
        <w:adjustRightInd/>
        <w:snapToGrid w:val="0"/>
        <w:spacing w:line="600" w:lineRule="exact"/>
        <w:ind w:firstLine="2880" w:firstLineChars="900"/>
        <w:jc w:val="both"/>
        <w:textAlignment w:val="auto"/>
        <w:rPr>
          <w:rFonts w:hint="eastAsia" w:ascii="方正楷体简体" w:hAnsi="方正楷体简体" w:eastAsia="方正楷体简体" w:cs="方正楷体简体"/>
          <w:b w:val="0"/>
          <w:bCs w:val="0"/>
          <w:snapToGrid w:val="0"/>
          <w:sz w:val="32"/>
          <w:szCs w:val="32"/>
          <w:lang w:val="en-US" w:eastAsia="zh-CN"/>
        </w:rPr>
      </w:pPr>
      <w:r>
        <w:rPr>
          <w:rFonts w:hint="eastAsia" w:ascii="方正楷体简体" w:hAnsi="方正楷体简体" w:eastAsia="方正楷体简体" w:cs="方正楷体简体"/>
          <w:b w:val="0"/>
          <w:bCs w:val="0"/>
          <w:snapToGrid w:val="0"/>
          <w:sz w:val="32"/>
          <w:szCs w:val="32"/>
          <w:lang w:val="en-US" w:eastAsia="zh-CN"/>
        </w:rPr>
        <w:t>（征求意见稿）</w:t>
      </w:r>
    </w:p>
    <w:p>
      <w:pPr>
        <w:pStyle w:val="3"/>
        <w:keepNext w:val="0"/>
        <w:keepLines w:val="0"/>
        <w:pageBreakBefore w:val="0"/>
        <w:widowControl w:val="0"/>
        <w:kinsoku/>
        <w:wordWrap/>
        <w:overflowPunct w:val="0"/>
        <w:topLinePunct w:val="0"/>
        <w:autoSpaceDE/>
        <w:autoSpaceDN/>
        <w:bidi w:val="0"/>
        <w:adjustRightInd/>
        <w:snapToGrid w:val="0"/>
        <w:spacing w:beforeLines="0" w:afterLines="0" w:line="600" w:lineRule="exact"/>
        <w:ind w:left="-3" w:leftChars="0" w:right="0" w:firstLine="3" w:firstLineChars="0"/>
        <w:jc w:val="both"/>
        <w:textAlignment w:val="auto"/>
        <w:rPr>
          <w:rFonts w:hint="eastAsia" w:ascii="仿宋_GB2312" w:hAnsi="仿宋_GB2312" w:eastAsia="仿宋_GB2312" w:cs="仿宋_GB2312"/>
          <w:snapToGrid w:val="0"/>
          <w:kern w:val="2"/>
          <w:sz w:val="32"/>
          <w:szCs w:val="32"/>
          <w:lang w:val="en-US" w:eastAsia="zh-CN" w:bidi="ar-SA"/>
        </w:rPr>
      </w:pPr>
      <w:r>
        <w:rPr>
          <w:rFonts w:hint="eastAsia" w:ascii="仿宋_GB2312" w:hAnsi="仿宋_GB2312" w:eastAsia="仿宋_GB2312" w:cs="仿宋_GB2312"/>
          <w:snapToGrid w:val="0"/>
          <w:kern w:val="2"/>
          <w:sz w:val="32"/>
          <w:szCs w:val="32"/>
          <w:lang w:val="en-US" w:eastAsia="zh-CN" w:bidi="ar-SA"/>
        </w:rPr>
        <w:t xml:space="preserve">    为加强水闸工程管理、提高公民水闸工程保护意识，维护公共利益安全，保障水利工程正常运行和行洪安全，根据《中华人民共和国水法》《中华人民共和国防洪法》等国家法律法规，现就我市台儿庄节制闸、万年闸节制闸、刘庄节制闸管理范围与保护范围划定情况通告如下：</w:t>
      </w:r>
    </w:p>
    <w:p>
      <w:pPr>
        <w:pStyle w:val="3"/>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snapToGrid w:val="0"/>
          <w:kern w:val="2"/>
          <w:sz w:val="32"/>
          <w:szCs w:val="32"/>
          <w:lang w:val="en-US" w:eastAsia="zh-CN" w:bidi="ar-SA"/>
        </w:rPr>
        <w:t xml:space="preserve">  </w:t>
      </w:r>
      <w:r>
        <w:rPr>
          <w:rFonts w:hint="eastAsia" w:ascii="黑体" w:hAnsi="黑体" w:eastAsia="黑体" w:cs="黑体"/>
          <w:snapToGrid w:val="0"/>
          <w:kern w:val="2"/>
          <w:sz w:val="32"/>
          <w:szCs w:val="32"/>
          <w:lang w:val="en-US" w:eastAsia="zh-CN" w:bidi="ar-SA"/>
        </w:rPr>
        <w:t xml:space="preserve">  一、管理范围与保护范围</w:t>
      </w:r>
    </w:p>
    <w:p>
      <w:pPr>
        <w:pStyle w:val="3"/>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snapToGrid w:val="0"/>
          <w:kern w:val="2"/>
          <w:sz w:val="32"/>
          <w:szCs w:val="32"/>
          <w:lang w:val="en-US" w:eastAsia="zh-CN" w:bidi="ar-SA"/>
        </w:rPr>
        <w:t xml:space="preserve">    （一）台儿庄节制闸（大型）。管理范围：</w:t>
      </w:r>
      <w:r>
        <w:rPr>
          <w:rFonts w:hint="eastAsia" w:ascii="仿宋_GB2312" w:hAnsi="仿宋_GB2312" w:eastAsia="仿宋_GB2312" w:cs="仿宋_GB2312"/>
          <w:snapToGrid w:val="0"/>
          <w:sz w:val="32"/>
          <w:szCs w:val="32"/>
          <w:lang w:val="en-US" w:eastAsia="zh-CN"/>
        </w:rPr>
        <w:t>上游连接段、闸室段、下游连接段和两岸连接建筑物等主体工程的覆盖范围及河道内的水域。保护范围：</w:t>
      </w:r>
      <w:r>
        <w:rPr>
          <w:rFonts w:hint="eastAsia" w:ascii="仿宋_GB2312" w:hAnsi="仿宋_GB2312" w:eastAsia="仿宋_GB2312" w:cs="仿宋_GB2312"/>
          <w:i w:val="0"/>
          <w:iCs w:val="0"/>
          <w:snapToGrid w:val="0"/>
          <w:color w:val="000000"/>
          <w:kern w:val="0"/>
          <w:sz w:val="32"/>
          <w:szCs w:val="32"/>
          <w:u w:val="none"/>
          <w:lang w:val="en-US" w:eastAsia="zh-CN" w:bidi="ar"/>
        </w:rPr>
        <w:t>上下游宽度单侧应在管理范围以外300m，两侧单侧应在管理范围以外200m。</w:t>
      </w:r>
    </w:p>
    <w:p>
      <w:pPr>
        <w:pStyle w:val="3"/>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i w:val="0"/>
          <w:iCs w:val="0"/>
          <w:snapToGrid w:val="0"/>
          <w:color w:val="000000"/>
          <w:kern w:val="0"/>
          <w:sz w:val="32"/>
          <w:szCs w:val="32"/>
          <w:u w:val="none"/>
          <w:lang w:val="en-US" w:eastAsia="zh-CN" w:bidi="ar"/>
        </w:rPr>
        <w:t xml:space="preserve">    （二）万年闸节制闸</w:t>
      </w:r>
      <w:r>
        <w:rPr>
          <w:rFonts w:hint="eastAsia" w:ascii="仿宋_GB2312" w:hAnsi="仿宋_GB2312" w:eastAsia="仿宋_GB2312" w:cs="仿宋_GB2312"/>
          <w:snapToGrid w:val="0"/>
          <w:kern w:val="2"/>
          <w:sz w:val="32"/>
          <w:szCs w:val="32"/>
          <w:lang w:val="en-US" w:eastAsia="zh-CN" w:bidi="ar-SA"/>
        </w:rPr>
        <w:t>（大型）。管理范围：</w:t>
      </w:r>
      <w:r>
        <w:rPr>
          <w:rFonts w:hint="eastAsia" w:ascii="仿宋_GB2312" w:hAnsi="仿宋_GB2312" w:eastAsia="仿宋_GB2312" w:cs="仿宋_GB2312"/>
          <w:snapToGrid w:val="0"/>
          <w:sz w:val="32"/>
          <w:szCs w:val="32"/>
          <w:lang w:val="en-US" w:eastAsia="zh-CN"/>
        </w:rPr>
        <w:t>上游连接段、闸室段、下游连接段和两岸连接建筑物等主体工程的覆盖范围及河道内的水域。保护范围：</w:t>
      </w:r>
      <w:r>
        <w:rPr>
          <w:rFonts w:hint="eastAsia" w:ascii="仿宋_GB2312" w:hAnsi="仿宋_GB2312" w:eastAsia="仿宋_GB2312" w:cs="仿宋_GB2312"/>
          <w:i w:val="0"/>
          <w:iCs w:val="0"/>
          <w:snapToGrid w:val="0"/>
          <w:color w:val="000000"/>
          <w:kern w:val="0"/>
          <w:sz w:val="32"/>
          <w:szCs w:val="32"/>
          <w:u w:val="none"/>
          <w:lang w:val="en-US" w:eastAsia="zh-CN" w:bidi="ar"/>
        </w:rPr>
        <w:t>上下游宽度单侧应在管理范围以外300m，两侧单侧应在管理范围以外200m。</w:t>
      </w:r>
    </w:p>
    <w:p>
      <w:pPr>
        <w:pStyle w:val="3"/>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仿宋_GB2312" w:hAnsi="仿宋_GB2312" w:eastAsia="仿宋_GB2312" w:cs="仿宋_GB2312"/>
          <w:i w:val="0"/>
          <w:iCs w:val="0"/>
          <w:snapToGrid w:val="0"/>
          <w:color w:val="000000"/>
          <w:kern w:val="0"/>
          <w:sz w:val="32"/>
          <w:szCs w:val="32"/>
          <w:u w:val="none"/>
          <w:lang w:val="en-US" w:eastAsia="zh-CN" w:bidi="ar"/>
        </w:rPr>
      </w:pPr>
      <w:r>
        <w:rPr>
          <w:rFonts w:hint="eastAsia" w:ascii="仿宋_GB2312" w:hAnsi="仿宋_GB2312" w:eastAsia="仿宋_GB2312" w:cs="仿宋_GB2312"/>
          <w:snapToGrid w:val="0"/>
          <w:kern w:val="2"/>
          <w:sz w:val="32"/>
          <w:szCs w:val="32"/>
          <w:lang w:val="en-US" w:eastAsia="zh-CN" w:bidi="ar-SA"/>
        </w:rPr>
        <w:t xml:space="preserve">    （三）刘庄节制闸（中型）。管理范围：</w:t>
      </w:r>
      <w:r>
        <w:rPr>
          <w:rFonts w:hint="eastAsia" w:ascii="仿宋_GB2312" w:hAnsi="仿宋_GB2312" w:eastAsia="仿宋_GB2312" w:cs="仿宋_GB2312"/>
          <w:snapToGrid w:val="0"/>
          <w:sz w:val="32"/>
          <w:szCs w:val="32"/>
          <w:lang w:val="en-US" w:eastAsia="zh-CN"/>
        </w:rPr>
        <w:t>上游连接段、闸室段、下游连接段和两岸连接建筑物等主体工程的覆盖范围及河道内的水域。保护范围：</w:t>
      </w:r>
      <w:r>
        <w:rPr>
          <w:rFonts w:hint="eastAsia" w:ascii="仿宋_GB2312" w:hAnsi="仿宋_GB2312" w:eastAsia="仿宋_GB2312" w:cs="仿宋_GB2312"/>
          <w:i w:val="0"/>
          <w:iCs w:val="0"/>
          <w:snapToGrid w:val="0"/>
          <w:color w:val="000000"/>
          <w:kern w:val="0"/>
          <w:sz w:val="32"/>
          <w:szCs w:val="32"/>
          <w:u w:val="none"/>
          <w:lang w:val="en-US" w:eastAsia="zh-CN" w:bidi="ar"/>
        </w:rPr>
        <w:t>上下游宽度单侧应在管理范围以外200m，两侧单侧应在管理范围以外100m。</w:t>
      </w:r>
    </w:p>
    <w:p>
      <w:pPr>
        <w:pStyle w:val="3"/>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黑体" w:hAnsi="黑体" w:eastAsia="黑体" w:cs="黑体"/>
          <w:snapToGrid w:val="0"/>
          <w:kern w:val="2"/>
          <w:sz w:val="32"/>
          <w:szCs w:val="32"/>
          <w:lang w:val="en-US" w:eastAsia="zh-CN" w:bidi="ar-SA"/>
        </w:rPr>
      </w:pPr>
      <w:r>
        <w:rPr>
          <w:rFonts w:hint="eastAsia" w:ascii="黑体" w:hAnsi="黑体" w:eastAsia="黑体" w:cs="黑体"/>
          <w:snapToGrid w:val="0"/>
          <w:kern w:val="2"/>
          <w:sz w:val="32"/>
          <w:szCs w:val="32"/>
          <w:lang w:val="en-US" w:eastAsia="zh-CN" w:bidi="ar-SA"/>
        </w:rPr>
        <w:t xml:space="preserve">    二、以上划定的管理范围与保护范围内土地权属不变。</w:t>
      </w:r>
    </w:p>
    <w:p>
      <w:pPr>
        <w:pStyle w:val="3"/>
        <w:keepNext w:val="0"/>
        <w:keepLines w:val="0"/>
        <w:pageBreakBefore w:val="0"/>
        <w:widowControl w:val="0"/>
        <w:numPr>
          <w:ilvl w:val="0"/>
          <w:numId w:val="0"/>
        </w:numPr>
        <w:kinsoku/>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黑体" w:hAnsi="黑体" w:eastAsia="黑体" w:cs="黑体"/>
          <w:snapToGrid w:val="0"/>
          <w:kern w:val="2"/>
          <w:sz w:val="32"/>
          <w:szCs w:val="32"/>
          <w:lang w:val="en-US" w:eastAsia="zh-CN" w:bidi="ar-SA"/>
        </w:rPr>
      </w:pPr>
      <w:r>
        <w:rPr>
          <w:rFonts w:hint="eastAsia" w:ascii="黑体" w:hAnsi="黑体" w:eastAsia="黑体" w:cs="黑体"/>
          <w:snapToGrid w:val="0"/>
          <w:kern w:val="2"/>
          <w:sz w:val="32"/>
          <w:szCs w:val="32"/>
          <w:lang w:val="en-US" w:eastAsia="zh-CN" w:bidi="ar-SA"/>
        </w:rPr>
        <w:t xml:space="preserve">    三、禁止以上划定的管理范围与保护范围内从事可能危及水利工程设施、影响行洪和堤防安全的生产建设活动。</w:t>
      </w:r>
    </w:p>
    <w:p>
      <w:pPr>
        <w:pStyle w:val="3"/>
        <w:keepNext w:val="0"/>
        <w:keepLines w:val="0"/>
        <w:pageBreakBefore w:val="0"/>
        <w:widowControl w:val="0"/>
        <w:numPr>
          <w:ilvl w:val="0"/>
          <w:numId w:val="0"/>
        </w:numPr>
        <w:kinsoku w:val="0"/>
        <w:wordWrap/>
        <w:overflowPunct w:val="0"/>
        <w:topLinePunct w:val="0"/>
        <w:autoSpaceDE/>
        <w:autoSpaceDN/>
        <w:bidi w:val="0"/>
        <w:adjustRightInd/>
        <w:snapToGrid w:val="0"/>
        <w:spacing w:beforeLines="0" w:afterLines="0" w:line="600" w:lineRule="exact"/>
        <w:ind w:left="420" w:leftChars="0" w:right="0" w:rightChars="0"/>
        <w:jc w:val="both"/>
        <w:textAlignment w:val="auto"/>
        <w:rPr>
          <w:rFonts w:hint="eastAsia" w:ascii="方正仿宋简体" w:hAnsi="方正仿宋简体" w:eastAsia="方正仿宋简体" w:cs="方正仿宋简体"/>
          <w:snapToGrid w:val="0"/>
          <w:kern w:val="2"/>
          <w:sz w:val="32"/>
          <w:szCs w:val="32"/>
          <w:lang w:val="en-US" w:eastAsia="zh-CN" w:bidi="ar-SA"/>
        </w:rPr>
      </w:pPr>
      <w:r>
        <w:rPr>
          <w:rFonts w:hint="eastAsia" w:ascii="方正仿宋简体" w:hAnsi="方正仿宋简体" w:eastAsia="方正仿宋简体" w:cs="方正仿宋简体"/>
          <w:snapToGrid w:val="0"/>
          <w:kern w:val="2"/>
          <w:sz w:val="32"/>
          <w:szCs w:val="32"/>
          <w:lang w:val="en-US" w:eastAsia="zh-CN" w:bidi="ar-SA"/>
        </w:rPr>
        <w:t xml:space="preserve"> </w:t>
      </w:r>
    </w:p>
    <w:p>
      <w:pPr>
        <w:pStyle w:val="3"/>
        <w:keepNext w:val="0"/>
        <w:keepLines w:val="0"/>
        <w:pageBreakBefore w:val="0"/>
        <w:widowControl w:val="0"/>
        <w:numPr>
          <w:ilvl w:val="0"/>
          <w:numId w:val="0"/>
        </w:numPr>
        <w:kinsoku w:val="0"/>
        <w:wordWrap/>
        <w:overflowPunct w:val="0"/>
        <w:topLinePunct w:val="0"/>
        <w:autoSpaceDE/>
        <w:autoSpaceDN/>
        <w:bidi w:val="0"/>
        <w:adjustRightInd/>
        <w:snapToGrid w:val="0"/>
        <w:spacing w:beforeLines="0" w:afterLines="0" w:line="600" w:lineRule="exact"/>
        <w:ind w:right="0" w:rightChars="0"/>
        <w:jc w:val="both"/>
        <w:textAlignment w:val="auto"/>
        <w:rPr>
          <w:rFonts w:hint="eastAsia" w:ascii="方正仿宋简体" w:hAnsi="方正仿宋简体" w:eastAsia="方正仿宋简体" w:cs="方正仿宋简体"/>
          <w:snapToGrid w:val="0"/>
          <w:kern w:val="2"/>
          <w:sz w:val="32"/>
          <w:szCs w:val="32"/>
          <w:lang w:val="en-US" w:eastAsia="zh-CN" w:bidi="ar-SA"/>
        </w:rPr>
      </w:pPr>
    </w:p>
    <w:p>
      <w:pPr>
        <w:rPr>
          <w:rFonts w:hint="eastAsia" w:ascii="方正仿宋简体" w:hAnsi="方正仿宋简体" w:eastAsia="方正仿宋简体" w:cs="方正仿宋简体"/>
          <w:sz w:val="32"/>
          <w:szCs w:val="32"/>
          <w:lang w:val="en-US"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8D0EE2-2D5D-4928-BE19-2BC6442EA7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1259C72-BD26-48E6-BA24-5B16B2337DE0}"/>
  </w:font>
  <w:font w:name="仿宋_GB2312">
    <w:panose1 w:val="02010609030101010101"/>
    <w:charset w:val="86"/>
    <w:family w:val="modern"/>
    <w:pitch w:val="default"/>
    <w:sig w:usb0="00000001" w:usb1="080E0000" w:usb2="00000000" w:usb3="00000000" w:csb0="00040000" w:csb1="00000000"/>
    <w:embedRegular r:id="rId3" w:fontKey="{C2A0415C-7F44-4C95-8214-5CDBC6D703AA}"/>
  </w:font>
  <w:font w:name="方正小标宋简体">
    <w:panose1 w:val="02010601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00000001" w:usb1="080E0000" w:usb2="00000000" w:usb3="00000000" w:csb0="00040000" w:csb1="00000000"/>
    <w:embedRegular r:id="rId4" w:fontKey="{EB78BFCD-7A5E-43D7-A8FD-FB8C9F3A4C0A}"/>
  </w:font>
  <w:font w:name="方正楷体简体">
    <w:altName w:val="楷体_GB2312"/>
    <w:panose1 w:val="03000509000000000000"/>
    <w:charset w:val="86"/>
    <w:family w:val="auto"/>
    <w:pitch w:val="default"/>
    <w:sig w:usb0="00000000" w:usb1="00000000" w:usb2="00000000" w:usb3="00000000" w:csb0="00040000" w:csb1="00000000"/>
    <w:embedRegular r:id="rId5" w:fontKey="{9BB96D63-5FF6-4A9F-930B-91EF71D269EC}"/>
  </w:font>
  <w:font w:name="方正仿宋简体">
    <w:altName w:val="Arial Unicode MS"/>
    <w:panose1 w:val="02000000000000000000"/>
    <w:charset w:val="86"/>
    <w:family w:val="auto"/>
    <w:pitch w:val="default"/>
    <w:sig w:usb0="00000000" w:usb1="00000000" w:usb2="00000012" w:usb3="00000000" w:csb0="00040001" w:csb1="00000000"/>
    <w:embedRegular r:id="rId6" w:fontKey="{A61E8057-2F8C-45F8-A270-95F62DBE3404}"/>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YWYyNmE0NTRjN2VmZjE0OTgyMTk4ZWI1NWQ5NWMifQ=="/>
  </w:docVars>
  <w:rsids>
    <w:rsidRoot w:val="1949027E"/>
    <w:rsid w:val="19490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TOC1"/>
    <w:basedOn w:val="1"/>
    <w:next w:val="1"/>
    <w:qFormat/>
    <w:uiPriority w:val="0"/>
    <w:pPr>
      <w:spacing w:line="660" w:lineRule="exact"/>
      <w:ind w:firstLine="705"/>
      <w:textAlignment w:val="baseline"/>
    </w:pPr>
    <w:rPr>
      <w:rFonts w:ascii="仿宋_GB2312" w:hAnsi="Calibri" w:eastAsia="仿宋_GB2312"/>
      <w:color w:val="000000"/>
      <w:sz w:val="36"/>
      <w:szCs w:val="36"/>
    </w:rPr>
  </w:style>
  <w:style w:type="paragraph" w:styleId="3">
    <w:name w:val="Body Text"/>
    <w:basedOn w:val="1"/>
    <w:unhideWhenUsed/>
    <w:qFormat/>
    <w:uiPriority w:val="1"/>
    <w:pPr>
      <w:spacing w:beforeLines="0" w:afterLines="0"/>
      <w:ind w:left="106"/>
    </w:pPr>
    <w:rPr>
      <w:rFonts w:hint="eastAsia" w:ascii="宋体" w:hAnsi="宋体" w:eastAsia="宋体"/>
      <w:sz w:val="6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2023-07-20T01:30:00Z</dcterms:created>
  <dc:creator>DELL</dc:creator>
  <cp:lastModifiedBy>DELL</cp:lastModifiedBy>
  <dcterms:modified xsi:type="dcterms:W3CDTF">2023-07-20T01:30:41Z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458A584E3DE948448F7563F64EA7D365_11</vt:lpwstr>
  </property>
</Properties>
</file>