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CC179">
      <w:pPr>
        <w:spacing w:line="700" w:lineRule="exact"/>
        <w:rPr>
          <w:rFonts w:ascii="Times New Roman" w:hAnsi="Times New Roman" w:eastAsia="方正小标宋简体"/>
          <w:color w:val="000000"/>
          <w:sz w:val="44"/>
          <w:szCs w:val="44"/>
        </w:rPr>
      </w:pPr>
    </w:p>
    <w:p w14:paraId="2E5E9061">
      <w:pPr>
        <w:pStyle w:val="8"/>
        <w:keepNext w:val="0"/>
        <w:keepLines w:val="0"/>
        <w:pageBreakBefore w:val="0"/>
        <w:widowControl w:val="0"/>
        <w:kinsoku/>
        <w:wordWrap/>
        <w:overflowPunct/>
        <w:topLinePunct w:val="0"/>
        <w:autoSpaceDE w:val="0"/>
        <w:autoSpaceDN w:val="0"/>
        <w:bidi w:val="0"/>
        <w:adjustRightInd/>
        <w:snapToGrid/>
        <w:spacing w:line="1100" w:lineRule="exact"/>
        <w:ind w:left="0" w:leftChars="0" w:right="1890" w:rightChars="900"/>
        <w:jc w:val="distribute"/>
        <w:textAlignment w:val="auto"/>
        <w:rPr>
          <w:rFonts w:hint="eastAsia" w:ascii="方正小标宋简体" w:hAnsi="方正小标宋简体" w:eastAsia="方正小标宋简体" w:cs="方正小标宋简体"/>
          <w:b w:val="0"/>
          <w:bCs w:val="0"/>
          <w:color w:val="FF0000"/>
          <w:spacing w:val="0"/>
          <w:w w:val="75"/>
          <w:kern w:val="0"/>
          <w:sz w:val="80"/>
          <w:szCs w:val="80"/>
          <w:lang w:val="en-US" w:eastAsia="zh-CN"/>
        </w:rPr>
      </w:pPr>
      <w:r>
        <w:rPr>
          <w:rFonts w:hint="eastAsia" w:ascii="方正小标宋简体" w:hAnsi="方正小标宋简体" w:eastAsia="方正小标宋简体" w:cs="方正小标宋简体"/>
          <w:b w:val="0"/>
          <w:bCs w:val="0"/>
          <w:color w:val="FF0000"/>
          <w:spacing w:val="0"/>
          <w:w w:val="75"/>
          <w:kern w:val="0"/>
          <w:sz w:val="80"/>
          <w:szCs w:val="80"/>
          <w:lang w:val="en-US" w:eastAsia="zh-CN"/>
        </w:rPr>
        <mc:AlternateContent>
          <mc:Choice Requires="wps">
            <w:drawing>
              <wp:anchor distT="0" distB="0" distL="114300" distR="114300" simplePos="0" relativeHeight="251661312" behindDoc="1" locked="0" layoutInCell="1" allowOverlap="1">
                <wp:simplePos x="0" y="0"/>
                <wp:positionH relativeFrom="column">
                  <wp:posOffset>4455795</wp:posOffset>
                </wp:positionH>
                <wp:positionV relativeFrom="paragraph">
                  <wp:posOffset>166370</wp:posOffset>
                </wp:positionV>
                <wp:extent cx="1155700" cy="1198245"/>
                <wp:effectExtent l="4445" t="5080" r="20955" b="15875"/>
                <wp:wrapNone/>
                <wp:docPr id="2" name="文本框 2"/>
                <wp:cNvGraphicFramePr/>
                <a:graphic xmlns:a="http://schemas.openxmlformats.org/drawingml/2006/main">
                  <a:graphicData uri="http://schemas.microsoft.com/office/word/2010/wordprocessingShape">
                    <wps:wsp>
                      <wps:cNvSpPr txBox="1"/>
                      <wps:spPr>
                        <a:xfrm>
                          <a:off x="0" y="0"/>
                          <a:ext cx="1155700" cy="119824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2683EDB4">
                            <w:pPr>
                              <w:jc w:val="center"/>
                            </w:pPr>
                            <w:r>
                              <w:rPr>
                                <w:rFonts w:hint="eastAsia" w:ascii="方正小标宋简体" w:hAnsi="方正小标宋简体" w:eastAsia="方正小标宋简体" w:cs="方正小标宋简体"/>
                                <w:color w:val="FF0000"/>
                                <w:w w:val="66"/>
                                <w:sz w:val="120"/>
                                <w:szCs w:val="120"/>
                              </w:rPr>
                              <w:t>文件</w:t>
                            </w:r>
                          </w:p>
                        </w:txbxContent>
                      </wps:txbx>
                      <wps:bodyPr vert="horz" lIns="0" tIns="0" rIns="0" bIns="0" anchor="t" anchorCtr="0" upright="0"/>
                    </wps:wsp>
                  </a:graphicData>
                </a:graphic>
              </wp:anchor>
            </w:drawing>
          </mc:Choice>
          <mc:Fallback>
            <w:pict>
              <v:shape id="_x0000_s1026" o:spid="_x0000_s1026" o:spt="202" type="#_x0000_t202" style="position:absolute;left:0pt;margin-left:350.85pt;margin-top:13.1pt;height:94.35pt;width:91pt;z-index:-251655168;mso-width-relative:page;mso-height-relative:page;" fillcolor="#FFFFFF" filled="t" stroked="t" coordsize="21600,21600" o:gfxdata="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AdUt/ZAAAACgEAAA8AAAAAAAAAAQAgAAAAIgAAAGRycy9kb3ducmV2LnhtbFBL&#10;AQIUABQAAAAIAIdO4kDj9fxRLgIAAI4EAAAOAAAAAAAAAAEAIAAAACgBAABkcnMvZTJvRG9jLnht&#10;bFBLBQYAAAAABgAGAFkBAADIBQAAAAA=&#10;">
                <v:fill on="t" focussize="0,0"/>
                <v:stroke color="#FFFFFF" joinstyle="miter"/>
                <v:imagedata o:title=""/>
                <o:lock v:ext="edit" aspectratio="f"/>
                <v:textbox inset="0mm,0mm,0mm,0mm">
                  <w:txbxContent>
                    <w:p w14:paraId="2683EDB4">
                      <w:pPr>
                        <w:jc w:val="center"/>
                      </w:pPr>
                      <w:r>
                        <w:rPr>
                          <w:rFonts w:hint="eastAsia" w:ascii="方正小标宋简体" w:hAnsi="方正小标宋简体" w:eastAsia="方正小标宋简体" w:cs="方正小标宋简体"/>
                          <w:color w:val="FF0000"/>
                          <w:w w:val="66"/>
                          <w:sz w:val="120"/>
                          <w:szCs w:val="120"/>
                        </w:rPr>
                        <w:t>文件</w:t>
                      </w:r>
                    </w:p>
                  </w:txbxContent>
                </v:textbox>
              </v:shape>
            </w:pict>
          </mc:Fallback>
        </mc:AlternateContent>
      </w:r>
      <w:r>
        <w:rPr>
          <w:rFonts w:hint="eastAsia" w:ascii="方正小标宋简体" w:hAnsi="方正小标宋简体" w:eastAsia="方正小标宋简体" w:cs="方正小标宋简体"/>
          <w:b w:val="0"/>
          <w:bCs w:val="0"/>
          <w:color w:val="FF0000"/>
          <w:spacing w:val="0"/>
          <w:w w:val="75"/>
          <w:kern w:val="0"/>
          <w:sz w:val="80"/>
          <w:szCs w:val="80"/>
          <w:lang w:val="en-US" w:eastAsia="zh-CN"/>
        </w:rPr>
        <w:t>枣庄市交通运输局</w:t>
      </w:r>
    </w:p>
    <w:p w14:paraId="60C756B2">
      <w:pPr>
        <w:pStyle w:val="8"/>
        <w:keepNext w:val="0"/>
        <w:keepLines w:val="0"/>
        <w:pageBreakBefore w:val="0"/>
        <w:widowControl w:val="0"/>
        <w:kinsoku/>
        <w:wordWrap/>
        <w:overflowPunct/>
        <w:topLinePunct w:val="0"/>
        <w:autoSpaceDE w:val="0"/>
        <w:autoSpaceDN w:val="0"/>
        <w:bidi w:val="0"/>
        <w:adjustRightInd/>
        <w:snapToGrid/>
        <w:spacing w:line="1100" w:lineRule="exact"/>
        <w:ind w:left="0" w:leftChars="0" w:right="1890" w:rightChars="900"/>
        <w:jc w:val="distribute"/>
        <w:textAlignment w:val="auto"/>
        <w:rPr>
          <w:rFonts w:hint="eastAsia" w:ascii="方正小标宋简体" w:hAnsi="方正小标宋简体" w:eastAsia="方正小标宋简体" w:cs="方正小标宋简体"/>
          <w:b w:val="0"/>
          <w:bCs w:val="0"/>
          <w:color w:val="FF0000"/>
          <w:spacing w:val="0"/>
          <w:w w:val="75"/>
          <w:kern w:val="0"/>
          <w:sz w:val="80"/>
          <w:szCs w:val="80"/>
          <w:lang w:val="en-US" w:eastAsia="zh-CN"/>
        </w:rPr>
      </w:pPr>
      <w:r>
        <w:rPr>
          <w:rFonts w:hint="eastAsia" w:ascii="方正小标宋简体" w:hAnsi="方正小标宋简体" w:eastAsia="方正小标宋简体" w:cs="方正小标宋简体"/>
          <w:b w:val="0"/>
          <w:bCs w:val="0"/>
          <w:color w:val="FF0000"/>
          <w:spacing w:val="0"/>
          <w:w w:val="75"/>
          <w:kern w:val="0"/>
          <w:sz w:val="80"/>
          <w:szCs w:val="80"/>
          <w:lang w:val="en-US" w:eastAsia="zh-CN"/>
        </w:rPr>
        <w:t>枣庄市发展和改革委员会</w:t>
      </w:r>
    </w:p>
    <w:p w14:paraId="7ACCA698">
      <w:pPr>
        <w:spacing w:line="700" w:lineRule="exact"/>
        <w:rPr>
          <w:rFonts w:hint="eastAsia" w:ascii="Times New Roman" w:hAnsi="Times New Roman" w:eastAsia="方正小标宋简体"/>
          <w:color w:val="000000"/>
          <w:sz w:val="44"/>
          <w:szCs w:val="44"/>
        </w:rPr>
      </w:pPr>
    </w:p>
    <w:p w14:paraId="60A5B527">
      <w:pPr>
        <w:spacing w:line="700" w:lineRule="exact"/>
        <w:jc w:val="center"/>
        <w:rPr>
          <w:rFonts w:hint="eastAsia" w:ascii="仿宋_GB2312" w:hAnsi="仿宋_GB2312" w:eastAsia="仿宋_GB2312" w:cs="仿宋_GB2312"/>
          <w:color w:val="000000"/>
          <w:sz w:val="32"/>
          <w:szCs w:val="32"/>
        </w:rPr>
      </w:pPr>
      <w:r>
        <w:rPr>
          <w:rFonts w:hint="eastAsia" w:ascii="Times New Roman" w:hAnsi="Times New Roman" w:eastAsia="仿宋_GB2312"/>
          <w:sz w:val="32"/>
          <w:szCs w:val="32"/>
        </w:rPr>
        <w:t>枣交字〔202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号</w:t>
      </w:r>
    </w:p>
    <w:p w14:paraId="1B97A058">
      <w:pPr>
        <w:spacing w:line="700" w:lineRule="exact"/>
        <w:rPr>
          <w:rFonts w:hint="eastAsia" w:ascii="仿宋_GB2312" w:hAnsi="仿宋_GB2312" w:eastAsia="仿宋_GB2312"/>
          <w:sz w:val="32"/>
          <w:szCs w:val="32"/>
        </w:rPr>
      </w:pPr>
      <w:r>
        <w:rPr>
          <w:rFonts w:hint="eastAsia" w:ascii="Times New Roman" w:hAnsi="Times New Roman" w:eastAsia="方正小标宋简体"/>
          <w:color w:val="000000"/>
          <w:sz w:val="44"/>
          <w:szCs w:val="44"/>
        </w:rPr>
        <mc:AlternateContent>
          <mc:Choice Requires="wps">
            <w:drawing>
              <wp:anchor distT="0" distB="0" distL="114300" distR="114300" simplePos="0" relativeHeight="251660288" behindDoc="1" locked="0" layoutInCell="1" allowOverlap="1">
                <wp:simplePos x="0" y="0"/>
                <wp:positionH relativeFrom="column">
                  <wp:posOffset>-72390</wp:posOffset>
                </wp:positionH>
                <wp:positionV relativeFrom="paragraph">
                  <wp:posOffset>33020</wp:posOffset>
                </wp:positionV>
                <wp:extent cx="5760085" cy="0"/>
                <wp:effectExtent l="0" t="10795" r="12065" b="17780"/>
                <wp:wrapNone/>
                <wp:docPr id="3" name="直接连接符 3"/>
                <wp:cNvGraphicFramePr/>
                <a:graphic xmlns:a="http://schemas.openxmlformats.org/drawingml/2006/main">
                  <a:graphicData uri="http://schemas.microsoft.com/office/word/2010/wordprocessingShape">
                    <wps:wsp>
                      <wps:cNvCnPr/>
                      <wps:spPr>
                        <a:xfrm>
                          <a:off x="819785" y="7217410"/>
                          <a:ext cx="6010910" cy="0"/>
                        </a:xfrm>
                        <a:prstGeom prst="line">
                          <a:avLst/>
                        </a:prstGeom>
                        <a:ln w="2222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7pt;margin-top:2.6pt;height:0pt;width:453.55pt;z-index:-251656192;mso-width-relative:page;mso-height-relative:page;" filled="f" stroked="t" coordsize="21600,21600" o:gfxdata="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5oSvW1gAAAAcBAAAPAAAAAAAAAAEAIAAAACIAAABk&#10;cnMvZG93bnJldi54bWxQSwECFAAUAAAACACHTuJA/Mz98AgCAAD+AwAADgAAAAAAAAABACAAAAAl&#10;AQAAZHJzL2Uyb0RvYy54bWxQSwUGAAAAAAYABgBZAQAAnwUAAAAA&#10;">
                <v:fill on="f" focussize="0,0"/>
                <v:stroke weight="1.75pt" color="#FF0000" joinstyle="round"/>
                <v:imagedata o:title=""/>
                <o:lock v:ext="edit" aspectratio="f"/>
              </v:line>
            </w:pict>
          </mc:Fallback>
        </mc:AlternateContent>
      </w:r>
    </w:p>
    <w:p w14:paraId="65696D42">
      <w:pPr>
        <w:keepNext w:val="0"/>
        <w:keepLines w:val="0"/>
        <w:pageBreakBefore w:val="0"/>
        <w:widowControl w:val="0"/>
        <w:kinsoku/>
        <w:wordWrap/>
        <w:overflowPunct w:val="0"/>
        <w:topLinePunct/>
        <w:autoSpaceDE/>
        <w:autoSpaceDN/>
        <w:bidi w:val="0"/>
        <w:adjustRightInd w:val="0"/>
        <w:snapToGrid w:val="0"/>
        <w:spacing w:line="700" w:lineRule="exact"/>
        <w:jc w:val="center"/>
        <w:textAlignment w:val="auto"/>
        <w:outlineLvl w:val="0"/>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关于印发《枣庄市2026年新能源城市公交车及动力电池更新补贴实施细则》的通知</w:t>
      </w:r>
    </w:p>
    <w:p w14:paraId="04E7AE4E">
      <w:pPr>
        <w:pStyle w:val="5"/>
        <w:keepNext w:val="0"/>
        <w:keepLines w:val="0"/>
        <w:pageBreakBefore w:val="0"/>
        <w:widowControl w:val="0"/>
        <w:kinsoku/>
        <w:wordWrap/>
        <w:overflowPunct w:val="0"/>
        <w:topLinePunct w:val="0"/>
        <w:autoSpaceDE/>
        <w:autoSpaceDN/>
        <w:bidi w:val="0"/>
        <w:adjustRightInd/>
        <w:snapToGrid/>
        <w:spacing w:line="590" w:lineRule="exact"/>
        <w:ind w:firstLine="0" w:firstLineChars="0"/>
        <w:textAlignment w:val="auto"/>
        <w:rPr>
          <w:rFonts w:hint="eastAsia" w:ascii="Times New Roman" w:hAnsi="Times New Roman" w:eastAsia="仿宋_GB2312"/>
          <w:sz w:val="32"/>
          <w:szCs w:val="32"/>
        </w:rPr>
      </w:pPr>
    </w:p>
    <w:p w14:paraId="26A7ACF9">
      <w:pPr>
        <w:pStyle w:val="5"/>
        <w:keepNext w:val="0"/>
        <w:keepLines w:val="0"/>
        <w:pageBreakBefore w:val="0"/>
        <w:widowControl w:val="0"/>
        <w:kinsoku/>
        <w:wordWrap/>
        <w:overflowPunct w:val="0"/>
        <w:topLinePunct w:val="0"/>
        <w:autoSpaceDE/>
        <w:autoSpaceDN/>
        <w:bidi w:val="0"/>
        <w:adjustRightInd/>
        <w:snapToGrid/>
        <w:spacing w:line="590" w:lineRule="exact"/>
        <w:ind w:firstLine="0" w:firstLineChars="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各区（市）交通运输局、发展改革局：</w:t>
      </w:r>
    </w:p>
    <w:p w14:paraId="02086F0B">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根据省交通运输厅 省发展和改革委员会《关于印发&lt;山东省2026年新能源城市公交车及动力电池更新补贴实施细则&gt;的通知》，为更好实施新能源城市公交车及动力电池设备更新工作，现制定《枣庄市2026年新能源城市公交车及动力电池更新补贴实施细则》，现印发给你们，请遵照执行。</w:t>
      </w:r>
    </w:p>
    <w:p w14:paraId="7551F31B">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default" w:ascii="Times New Roman" w:hAnsi="Times New Roman" w:eastAsia="仿宋_GB2312" w:cs="Times New Roman"/>
          <w:sz w:val="32"/>
          <w:szCs w:val="32"/>
          <w:lang w:eastAsia="zh-CN"/>
        </w:rPr>
        <w:drawing>
          <wp:anchor distT="0" distB="0" distL="114300" distR="114300" simplePos="0" relativeHeight="251662336" behindDoc="1" locked="0" layoutInCell="1" allowOverlap="1">
            <wp:simplePos x="0" y="0"/>
            <wp:positionH relativeFrom="column">
              <wp:posOffset>435610</wp:posOffset>
            </wp:positionH>
            <wp:positionV relativeFrom="paragraph">
              <wp:posOffset>129540</wp:posOffset>
            </wp:positionV>
            <wp:extent cx="1551305" cy="1554480"/>
            <wp:effectExtent l="0" t="0" r="10795" b="7620"/>
            <wp:wrapNone/>
            <wp:docPr id="7" name="图片 7" descr="Jiao tong 交通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Jiao tong 交通局"/>
                    <pic:cNvPicPr>
                      <a:picLocks noChangeAspect="1"/>
                    </pic:cNvPicPr>
                  </pic:nvPicPr>
                  <pic:blipFill>
                    <a:blip r:embed="rId8">
                      <a:lum bright="35989" contrast="100000"/>
                    </a:blip>
                    <a:stretch>
                      <a:fillRect/>
                    </a:stretch>
                  </pic:blipFill>
                  <pic:spPr>
                    <a:xfrm>
                      <a:off x="0" y="0"/>
                      <a:ext cx="1551305" cy="1554480"/>
                    </a:xfrm>
                    <a:prstGeom prst="rect">
                      <a:avLst/>
                    </a:prstGeom>
                    <a:noFill/>
                    <a:ln>
                      <a:noFill/>
                    </a:ln>
                  </pic:spPr>
                </pic:pic>
              </a:graphicData>
            </a:graphic>
          </wp:anchor>
        </w:drawing>
      </w: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663360" behindDoc="1" locked="0" layoutInCell="1" allowOverlap="1">
            <wp:simplePos x="0" y="0"/>
            <wp:positionH relativeFrom="column">
              <wp:posOffset>3373120</wp:posOffset>
            </wp:positionH>
            <wp:positionV relativeFrom="paragraph">
              <wp:posOffset>141605</wp:posOffset>
            </wp:positionV>
            <wp:extent cx="1530350" cy="1545590"/>
            <wp:effectExtent l="0" t="0" r="12700" b="16510"/>
            <wp:wrapNone/>
            <wp:docPr id="8" name="图片 8" descr="F 发展改革委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 发展改革委1471"/>
                    <pic:cNvPicPr>
                      <a:picLocks noChangeAspect="1"/>
                    </pic:cNvPicPr>
                  </pic:nvPicPr>
                  <pic:blipFill>
                    <a:blip r:embed="rId9">
                      <a:lum bright="12000" contrast="100000"/>
                    </a:blip>
                    <a:stretch>
                      <a:fillRect/>
                    </a:stretch>
                  </pic:blipFill>
                  <pic:spPr>
                    <a:xfrm>
                      <a:off x="0" y="0"/>
                      <a:ext cx="1530350" cy="1545590"/>
                    </a:xfrm>
                    <a:prstGeom prst="rect">
                      <a:avLst/>
                    </a:prstGeom>
                  </pic:spPr>
                </pic:pic>
              </a:graphicData>
            </a:graphic>
          </wp:anchor>
        </w:drawing>
      </w:r>
    </w:p>
    <w:p w14:paraId="1DB960A5">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05534638">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枣庄市交通运输局</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枣庄市发展和改革委员会</w:t>
      </w:r>
    </w:p>
    <w:p w14:paraId="6E44F19D">
      <w:pPr>
        <w:pStyle w:val="5"/>
        <w:keepNext w:val="0"/>
        <w:keepLines w:val="0"/>
        <w:pageBreakBefore w:val="0"/>
        <w:widowControl w:val="0"/>
        <w:kinsoku/>
        <w:wordWrap/>
        <w:overflowPunct w:val="0"/>
        <w:topLinePunct w:val="0"/>
        <w:autoSpaceDE/>
        <w:autoSpaceDN/>
        <w:bidi w:val="0"/>
        <w:adjustRightInd/>
        <w:snapToGrid/>
        <w:spacing w:line="590" w:lineRule="exact"/>
        <w:ind w:right="1050" w:rightChars="500" w:firstLine="640" w:firstLineChars="200"/>
        <w:jc w:val="righ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2026年6月12日</w:t>
      </w:r>
    </w:p>
    <w:p w14:paraId="3CDD6B0D">
      <w:pPr>
        <w:rPr>
          <w:rFonts w:hint="eastAsia" w:ascii="Times New Roman" w:hAnsi="Times New Roman" w:eastAsia="仿宋_GB2312"/>
          <w:sz w:val="32"/>
          <w:szCs w:val="32"/>
        </w:rPr>
      </w:pPr>
      <w:r>
        <w:rPr>
          <w:rFonts w:hint="eastAsia" w:ascii="Times New Roman" w:hAnsi="Times New Roman" w:eastAsia="仿宋_GB2312"/>
          <w:sz w:val="32"/>
          <w:szCs w:val="32"/>
        </w:rPr>
        <w:br w:type="page"/>
      </w:r>
    </w:p>
    <w:p w14:paraId="3670E43A">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412477E3">
      <w:pPr>
        <w:keepNext w:val="0"/>
        <w:keepLines w:val="0"/>
        <w:pageBreakBefore w:val="0"/>
        <w:widowControl w:val="0"/>
        <w:kinsoku/>
        <w:wordWrap/>
        <w:overflowPunct w:val="0"/>
        <w:topLinePunct/>
        <w:autoSpaceDE/>
        <w:autoSpaceDN/>
        <w:bidi w:val="0"/>
        <w:adjustRightInd w:val="0"/>
        <w:snapToGrid w:val="0"/>
        <w:spacing w:line="700" w:lineRule="exact"/>
        <w:jc w:val="center"/>
        <w:textAlignment w:val="auto"/>
        <w:outlineLvl w:val="0"/>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枣庄市2026年新能源城市公交车及动力电池更新补贴实施细则</w:t>
      </w:r>
    </w:p>
    <w:p w14:paraId="7A01CFF7">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56434055">
      <w:pPr>
        <w:pStyle w:val="5"/>
        <w:keepNext w:val="0"/>
        <w:keepLines w:val="0"/>
        <w:pageBreakBefore w:val="0"/>
        <w:widowControl w:val="0"/>
        <w:kinsoku/>
        <w:wordWrap/>
        <w:overflowPunct w:val="0"/>
        <w:topLinePunct w:val="0"/>
        <w:autoSpaceDE/>
        <w:autoSpaceDN/>
        <w:bidi w:val="0"/>
        <w:adjustRightInd/>
        <w:snapToGrid/>
        <w:spacing w:line="590" w:lineRule="exact"/>
        <w:ind w:left="0" w:leftChars="0" w:right="0" w:rightChars="0" w:firstLine="0" w:firstLineChars="0"/>
        <w:jc w:val="center"/>
        <w:textAlignment w:val="auto"/>
        <w:rPr>
          <w:rFonts w:hint="eastAsia" w:ascii="Times New Roman" w:hAnsi="Times New Roman" w:eastAsia="黑体"/>
          <w:sz w:val="32"/>
          <w:szCs w:val="32"/>
        </w:rPr>
      </w:pPr>
      <w:r>
        <w:rPr>
          <w:rFonts w:hint="eastAsia" w:ascii="Times New Roman" w:hAnsi="Times New Roman" w:eastAsia="黑体"/>
          <w:sz w:val="32"/>
          <w:szCs w:val="32"/>
        </w:rPr>
        <w:t>第一章</w:t>
      </w:r>
      <w:r>
        <w:rPr>
          <w:rFonts w:hint="eastAsia" w:ascii="Times New Roman" w:hAnsi="Times New Roman" w:eastAsia="黑体"/>
          <w:sz w:val="32"/>
          <w:szCs w:val="32"/>
          <w:lang w:eastAsia="zh-CN"/>
        </w:rPr>
        <w:t>　</w:t>
      </w:r>
      <w:r>
        <w:rPr>
          <w:rFonts w:hint="eastAsia" w:ascii="Times New Roman" w:hAnsi="Times New Roman" w:eastAsia="黑体"/>
          <w:sz w:val="32"/>
          <w:szCs w:val="32"/>
        </w:rPr>
        <w:t>补贴范围和标准</w:t>
      </w:r>
    </w:p>
    <w:p w14:paraId="32C88572">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2C8A814B">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第一条</w:t>
      </w:r>
      <w:r>
        <w:rPr>
          <w:rFonts w:hint="eastAsia" w:ascii="Times New Roman" w:hAnsi="Times New Roman" w:eastAsia="仿宋_GB2312"/>
          <w:b/>
          <w:bCs/>
          <w:sz w:val="32"/>
          <w:szCs w:val="32"/>
          <w:lang w:eastAsia="zh-CN"/>
        </w:rPr>
        <w:t>　</w:t>
      </w:r>
      <w:r>
        <w:rPr>
          <w:rFonts w:hint="eastAsia" w:ascii="Times New Roman" w:hAnsi="Times New Roman" w:eastAsia="仿宋_GB2312"/>
          <w:sz w:val="32"/>
          <w:szCs w:val="32"/>
        </w:rPr>
        <w:t>利用超长</w:t>
      </w:r>
      <w:r>
        <w:rPr>
          <w:rFonts w:hint="eastAsia" w:ascii="Times New Roman" w:hAnsi="Times New Roman" w:eastAsia="仿宋_GB2312"/>
          <w:spacing w:val="9"/>
          <w:sz w:val="32"/>
          <w:szCs w:val="32"/>
        </w:rPr>
        <w:t>期特别国债资金，对城市公共汽电</w:t>
      </w:r>
      <w:r>
        <w:rPr>
          <w:rFonts w:hint="eastAsia" w:ascii="Times New Roman" w:hAnsi="Times New Roman" w:eastAsia="仿宋_GB2312"/>
          <w:sz w:val="32"/>
          <w:szCs w:val="32"/>
        </w:rPr>
        <w:t>车企业（以下简称申请人）更新新能源城市公交车及更换动力电池，给予定额补贴。鼓励结合客流变化、城市公交行业发展等情况，合理选择更换的新能源城市公交车辆车长类型。每辆车平均补贴8万元；其中，更换新能源城市公交车的，每车补贴12.81万元，低地板及低入口车辆额外补贴5000元；对更换动力电池的，每辆车平均补贴4.2万元，更换动力电池单价低于4.2万元/辆的，按实际购置价格补贴。补贴价格不得高于新车、新动力电池购置价格。</w:t>
      </w:r>
    </w:p>
    <w:p w14:paraId="54435C98">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第二条</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本细</w:t>
      </w:r>
      <w:r>
        <w:rPr>
          <w:rFonts w:hint="eastAsia" w:ascii="Times New Roman" w:hAnsi="Times New Roman" w:eastAsia="仿宋_GB2312"/>
          <w:spacing w:val="9"/>
          <w:sz w:val="32"/>
          <w:szCs w:val="32"/>
        </w:rPr>
        <w:t>则所指申请人，是指按照《城市公共交通条例》规定，依据《城市公共汽车和电车客运管理规定》（交通运输部令2017年第5号）或</w:t>
      </w:r>
      <w:r>
        <w:rPr>
          <w:rFonts w:hint="eastAsia" w:ascii="Times New Roman" w:hAnsi="Times New Roman" w:eastAsia="仿宋_GB2312"/>
          <w:sz w:val="32"/>
          <w:szCs w:val="32"/>
        </w:rPr>
        <w:t>者当地有关法规、规章等，由城市人民政府或者其城市公共交通主管部门依法确定的承担城市公共汽电车运营服务的企业。</w:t>
      </w:r>
    </w:p>
    <w:p w14:paraId="00043E15">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细则所称城市公交车，是指在城市人民政府确定的范围内，依法取得公共交通运营资格并提供公共交通客运服务的车辆，具体由各区（市）交通运输局认定。2026年度纳入农村客运补贴范围的车辆，不享受本细则补贴。</w:t>
      </w:r>
    </w:p>
    <w:p w14:paraId="15624DE4">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细则所称更新新能源城市公交车，是指报废老旧城市公交车，并购买纳入《享受车船税减免优惠的节约能源使用新能源汽车车型目录》《减免车辆购置税的新能源汽车车型目录》《新能源汽车推广应用推荐车型目录》之一的新能源城市公交车，包括纯电动、插电式混合动力、氢燃料电池车辆。新购的新能源城市公交车《机动车登记证书》中的使用性质应为“公交客运”，乘用车不纳入本政策支持范围。</w:t>
      </w:r>
    </w:p>
    <w:p w14:paraId="7FEFE50D">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细则所称更换动力电池，是指对新能源城市公交车辆动力电池进行全套更换，更换后的动力电池应在2025年1月1日（含当日，下同）后生产，质保年限不低于5年，更换工作应符合《中华人民共和国工业和信息化部交通运输部公安部商务部应急管理部市场监管总局金融监管总局国家消防救援局公告》（2024年第22号）相关要求。</w:t>
      </w:r>
    </w:p>
    <w:p w14:paraId="0773F593">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第三条</w:t>
      </w:r>
      <w:r>
        <w:rPr>
          <w:rFonts w:hint="eastAsia" w:ascii="Times New Roman" w:hAnsi="Times New Roman" w:eastAsia="仿宋_GB2312"/>
          <w:b/>
          <w:bCs/>
          <w:sz w:val="32"/>
          <w:szCs w:val="32"/>
          <w:lang w:eastAsia="zh-CN"/>
        </w:rPr>
        <w:t>　</w:t>
      </w:r>
      <w:r>
        <w:rPr>
          <w:rFonts w:hint="eastAsia" w:ascii="Times New Roman" w:hAnsi="Times New Roman" w:eastAsia="仿宋_GB2312"/>
          <w:sz w:val="32"/>
          <w:szCs w:val="32"/>
        </w:rPr>
        <w:t>补贴资金</w:t>
      </w:r>
      <w:r>
        <w:rPr>
          <w:rFonts w:hint="eastAsia" w:ascii="Times New Roman" w:hAnsi="Times New Roman" w:eastAsia="仿宋_GB2312"/>
          <w:spacing w:val="9"/>
          <w:sz w:val="32"/>
          <w:szCs w:val="32"/>
        </w:rPr>
        <w:t>支持2018年12月1日前注册登记</w:t>
      </w:r>
      <w:r>
        <w:rPr>
          <w:rFonts w:hint="eastAsia" w:ascii="Times New Roman" w:hAnsi="Times New Roman" w:eastAsia="仿宋_GB2312"/>
          <w:sz w:val="32"/>
          <w:szCs w:val="32"/>
        </w:rPr>
        <w:t>的城市公交车车辆更新，以及2026年12月31日前超出质保期或不满足安全运营条件的新能源城市公交车动力电池更换。各区（市）在优先报废老旧新能源城市公交车的基础上，可结合资金使用和老旧城市公交车报废更新需求，报废其他燃料类型城市公交车，并更新为新能源城市公交车。</w:t>
      </w:r>
    </w:p>
    <w:p w14:paraId="72E07061">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第四条</w:t>
      </w:r>
      <w:r>
        <w:rPr>
          <w:rFonts w:hint="eastAsia" w:ascii="Times New Roman" w:hAnsi="Times New Roman" w:eastAsia="仿宋_GB2312"/>
          <w:b/>
          <w:bCs/>
          <w:sz w:val="32"/>
          <w:szCs w:val="32"/>
          <w:lang w:eastAsia="zh-CN"/>
        </w:rPr>
        <w:t>　</w:t>
      </w:r>
      <w:r>
        <w:rPr>
          <w:rFonts w:hint="eastAsia" w:ascii="Times New Roman" w:hAnsi="Times New Roman" w:eastAsia="仿宋_GB2312"/>
          <w:sz w:val="32"/>
          <w:szCs w:val="32"/>
        </w:rPr>
        <w:t>各区</w:t>
      </w:r>
      <w:r>
        <w:rPr>
          <w:rFonts w:hint="eastAsia" w:ascii="Times New Roman" w:hAnsi="Times New Roman" w:eastAsia="仿宋_GB2312"/>
          <w:spacing w:val="9"/>
          <w:sz w:val="32"/>
          <w:szCs w:val="32"/>
        </w:rPr>
        <w:t>（市）交通运输局要坚持设备</w:t>
      </w:r>
      <w:r>
        <w:rPr>
          <w:rFonts w:hint="eastAsia" w:ascii="Times New Roman" w:hAnsi="Times New Roman" w:eastAsia="仿宋_GB2312"/>
          <w:sz w:val="32"/>
          <w:szCs w:val="32"/>
        </w:rPr>
        <w:t>更新与资源节约相结合的原则，指导申请人结合客流变化、微循环公交发展需求等，合理选择更换的新能源城市公交车辆车长类型，鼓励更换低地板及低入口新能源城市公交车。</w:t>
      </w:r>
    </w:p>
    <w:p w14:paraId="1D5995A9">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696754BC">
      <w:pPr>
        <w:pStyle w:val="5"/>
        <w:keepNext w:val="0"/>
        <w:keepLines w:val="0"/>
        <w:pageBreakBefore w:val="0"/>
        <w:widowControl w:val="0"/>
        <w:kinsoku/>
        <w:wordWrap/>
        <w:overflowPunct w:val="0"/>
        <w:topLinePunct w:val="0"/>
        <w:autoSpaceDE/>
        <w:autoSpaceDN/>
        <w:bidi w:val="0"/>
        <w:adjustRightInd/>
        <w:snapToGrid/>
        <w:spacing w:line="590" w:lineRule="exact"/>
        <w:ind w:left="0" w:leftChars="0" w:right="0" w:rightChars="0" w:firstLine="0" w:firstLineChars="0"/>
        <w:jc w:val="center"/>
        <w:textAlignment w:val="auto"/>
        <w:rPr>
          <w:rFonts w:hint="eastAsia" w:ascii="Times New Roman" w:hAnsi="Times New Roman" w:eastAsia="黑体"/>
          <w:sz w:val="32"/>
          <w:szCs w:val="32"/>
        </w:rPr>
      </w:pPr>
      <w:r>
        <w:rPr>
          <w:rFonts w:hint="eastAsia" w:ascii="Times New Roman" w:hAnsi="Times New Roman" w:eastAsia="黑体"/>
          <w:sz w:val="32"/>
          <w:szCs w:val="32"/>
        </w:rPr>
        <w:t>第二章</w:t>
      </w:r>
      <w:r>
        <w:rPr>
          <w:rFonts w:hint="eastAsia" w:ascii="Times New Roman" w:hAnsi="Times New Roman" w:eastAsia="黑体"/>
          <w:sz w:val="32"/>
          <w:szCs w:val="32"/>
          <w:lang w:eastAsia="zh-CN"/>
        </w:rPr>
        <w:t>　</w:t>
      </w:r>
      <w:r>
        <w:rPr>
          <w:rFonts w:hint="eastAsia" w:ascii="Times New Roman" w:hAnsi="Times New Roman" w:eastAsia="黑体"/>
          <w:sz w:val="32"/>
          <w:szCs w:val="32"/>
        </w:rPr>
        <w:t>补贴申报、审核和发放</w:t>
      </w:r>
    </w:p>
    <w:p w14:paraId="16A37437">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6945DED8">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第五条</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拟申请补</w:t>
      </w:r>
      <w:r>
        <w:rPr>
          <w:rFonts w:hint="eastAsia" w:ascii="Times New Roman" w:hAnsi="Times New Roman" w:eastAsia="仿宋_GB2312"/>
          <w:spacing w:val="9"/>
          <w:sz w:val="32"/>
          <w:szCs w:val="32"/>
        </w:rPr>
        <w:t>贴资金的申请人，应在完成新能源</w:t>
      </w:r>
      <w:r>
        <w:rPr>
          <w:rFonts w:hint="eastAsia" w:ascii="Times New Roman" w:hAnsi="Times New Roman" w:eastAsia="仿宋_GB2312"/>
          <w:sz w:val="32"/>
          <w:szCs w:val="32"/>
        </w:rPr>
        <w:t>城市公交车及动力电池更新后及时向所属区（市）交通运输局提交补贴资金申请（附件1）并同步报送新能源城市公交车车辆更新明细表及新能源城市公交车动力电池更换明细表（附件2、附件3），各区（市）交通运输局初步审核通过后以正式文件的形式报市交通运输局，申请截止日期为2026年12月31日。</w:t>
      </w:r>
    </w:p>
    <w:p w14:paraId="251653A6">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申请人名称应与报废（融资租赁方式获得车辆除外）、购买的城市公交车机动车登记证书中的机动车所有人名称一致，或申请人与报废、购买的城市公交车机动车登记证书中的机动车所有人具有法定隶属关系。</w:t>
      </w:r>
    </w:p>
    <w:p w14:paraId="6BD695F8">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对于更新新能源城市公交车，应提供报废车辆的首次注册登记时间、车辆识别代号、《报废机动车回收证明》《机动车注销证明》，以及新购车辆的识别代号、车辆型号、收付款凭证、《机动车销售统一发票》《机动车登记证书》等信息与佐证材料。报废的老旧城市公交车可以为通过融资租赁方式获得的车辆，对于报废融资租赁老旧公交车的，应要求申请人提供融资租赁合同。申请人与机动车所有人具有法定隶属关系的，应提供相关佐证材料。</w:t>
      </w:r>
    </w:p>
    <w:p w14:paraId="2E2F9DBF">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对于更换动力电池，应提供更换动力电池车辆的车辆识别代号、旧动力电池包数量、旧动力电池包编码，更换后的动力电池包数量、动力电池包编码、生产日期等信息，以及动力电池更换安全责任书、动力电池更换合同（含动力电池安全合规性要求）、发票、收付款凭证和验收证明等佐证材料。</w:t>
      </w:r>
    </w:p>
    <w:p w14:paraId="23AC6CCD">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对于更换仍在质保期但已不满足安全运营条件的新能源城市公交车动力电池的，还应提供由客车生产企业、动力电池生产企业或依法取得相关资质认定的检验检测机构出具的动力电池状态评估证明。</w:t>
      </w:r>
    </w:p>
    <w:p w14:paraId="69344569">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上述《报废机动车回收证明》《机动车注销证明》《机动车销售统一发票》《机动车登记证书》，以及更换动力电池验收证明应于2026年1月1日至2026年12月31日期间取得。其中，动力电池更换安全责任书由申请人提供，更换动力电池验收证明由申请人出具或聘请第三方验收出具。</w:t>
      </w:r>
    </w:p>
    <w:p w14:paraId="635C5941">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第六条</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各（区）市</w:t>
      </w:r>
      <w:r>
        <w:rPr>
          <w:rFonts w:hint="eastAsia" w:ascii="Times New Roman" w:hAnsi="Times New Roman" w:eastAsia="仿宋_GB2312"/>
          <w:spacing w:val="9"/>
          <w:sz w:val="32"/>
          <w:szCs w:val="32"/>
        </w:rPr>
        <w:t>交通运输主管部门收到申报</w:t>
      </w:r>
      <w:r>
        <w:rPr>
          <w:rFonts w:hint="eastAsia" w:ascii="Times New Roman" w:hAnsi="Times New Roman" w:eastAsia="仿宋_GB2312"/>
          <w:sz w:val="32"/>
          <w:szCs w:val="32"/>
        </w:rPr>
        <w:t>信息后，应在10个工作日内完成审核认定工作，并将审核情况报送市交通运输局。申请人提交的信息真实完整，符合本细则要求的，予以审核通过；信息不完整或不清晰无法辨识的，审核部门将补正信息要求告知申请人，申请人按要求在2027年1月15日前补正有关信息。对因企业原因造成的车辆核减，由企业承担相应责任；对相关部门核查工作组织不力、审核把关不严等问题，由相关部门承担相应责任。</w:t>
      </w:r>
    </w:p>
    <w:p w14:paraId="4B8BEE0E">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第七条</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对于更新新能源城市公交车，2025年7月1日至2025年12月31日期间仅部分取得《报废机动车回收证明》《机动车注销证明》《机动车销售统一发票》《机动车登记证书》，并于2026年1月1日至6月30日期间取得剩余上述证明材料的，经申请并审核通过后纳入2026年政策支持范围。对于更换动力电池，2025年7月1日至2025年12月31日期间已签订更换合同但未完成更换和验收，并于2026年1月1日至6月30日期间完成更换和验收的，经申请并审核通过后纳入2026年政策支持范围。</w:t>
      </w:r>
    </w:p>
    <w:p w14:paraId="650BE0BD">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第八条</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市交通运</w:t>
      </w:r>
      <w:r>
        <w:rPr>
          <w:rFonts w:hint="eastAsia" w:ascii="Times New Roman" w:hAnsi="Times New Roman" w:eastAsia="仿宋_GB2312"/>
          <w:spacing w:val="9"/>
          <w:sz w:val="32"/>
          <w:szCs w:val="32"/>
        </w:rPr>
        <w:t>输局及时汇总符合补贴条</w:t>
      </w:r>
      <w:r>
        <w:rPr>
          <w:rFonts w:hint="eastAsia" w:ascii="Times New Roman" w:hAnsi="Times New Roman" w:eastAsia="仿宋_GB2312"/>
          <w:sz w:val="32"/>
          <w:szCs w:val="32"/>
        </w:rPr>
        <w:t>件的新能源城市公交车及动力电池更新信息，确定补贴金额，按程序拨付补贴资金，并将资金拨付情况报同级发展改革部门。</w:t>
      </w:r>
    </w:p>
    <w:p w14:paraId="3E63BEE5">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40387455">
      <w:pPr>
        <w:pStyle w:val="5"/>
        <w:keepNext w:val="0"/>
        <w:keepLines w:val="0"/>
        <w:pageBreakBefore w:val="0"/>
        <w:widowControl w:val="0"/>
        <w:kinsoku/>
        <w:wordWrap/>
        <w:overflowPunct w:val="0"/>
        <w:topLinePunct w:val="0"/>
        <w:autoSpaceDE/>
        <w:autoSpaceDN/>
        <w:bidi w:val="0"/>
        <w:adjustRightInd/>
        <w:snapToGrid/>
        <w:spacing w:line="590" w:lineRule="exact"/>
        <w:ind w:left="0" w:leftChars="0" w:right="0" w:rightChars="0" w:firstLine="0" w:firstLineChars="0"/>
        <w:jc w:val="center"/>
        <w:textAlignment w:val="auto"/>
        <w:rPr>
          <w:rFonts w:hint="eastAsia" w:ascii="Times New Roman" w:hAnsi="Times New Roman" w:eastAsia="黑体"/>
          <w:sz w:val="32"/>
          <w:szCs w:val="32"/>
        </w:rPr>
      </w:pPr>
      <w:r>
        <w:rPr>
          <w:rFonts w:hint="eastAsia" w:ascii="Times New Roman" w:hAnsi="Times New Roman" w:eastAsia="黑体"/>
          <w:sz w:val="32"/>
          <w:szCs w:val="32"/>
        </w:rPr>
        <w:t>第三章</w:t>
      </w:r>
      <w:r>
        <w:rPr>
          <w:rFonts w:hint="eastAsia" w:ascii="Times New Roman" w:hAnsi="Times New Roman" w:eastAsia="黑体"/>
          <w:sz w:val="32"/>
          <w:szCs w:val="32"/>
          <w:lang w:eastAsia="zh-CN"/>
        </w:rPr>
        <w:t>　</w:t>
      </w:r>
      <w:r>
        <w:rPr>
          <w:rFonts w:hint="eastAsia" w:ascii="Times New Roman" w:hAnsi="Times New Roman" w:eastAsia="黑体"/>
          <w:sz w:val="32"/>
          <w:szCs w:val="32"/>
        </w:rPr>
        <w:t>补贴资金管理</w:t>
      </w:r>
    </w:p>
    <w:p w14:paraId="64AC74F8">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3AC1F0F2">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第九条</w:t>
      </w:r>
      <w:r>
        <w:rPr>
          <w:rFonts w:hint="eastAsia" w:ascii="Times New Roman" w:hAnsi="Times New Roman" w:eastAsia="仿宋_GB2312"/>
          <w:b/>
          <w:bCs/>
          <w:sz w:val="32"/>
          <w:szCs w:val="32"/>
          <w:lang w:eastAsia="zh-CN"/>
        </w:rPr>
        <w:t>　</w:t>
      </w:r>
      <w:r>
        <w:rPr>
          <w:rFonts w:hint="eastAsia" w:ascii="Times New Roman" w:hAnsi="Times New Roman" w:eastAsia="仿宋_GB2312"/>
          <w:sz w:val="32"/>
          <w:szCs w:val="32"/>
        </w:rPr>
        <w:t>2026年中央下达的补贴资金，只能用于实施2026年的补贴政策，不得用于填补2025年及以前年度的资金缺口。若设区的市用完中央下达的资金额度，则超出部分由相关市县（区）自行负担，中央和省级不再承担。各市是补贴资金使用的责任主体，由市级层面负责落实补贴政策，不得将资金用于平衡地方预算、偿还地方政府债务、地方“三保”支出。</w:t>
      </w:r>
    </w:p>
    <w:p w14:paraId="5B354C34">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16F39397">
      <w:pPr>
        <w:pStyle w:val="5"/>
        <w:keepNext w:val="0"/>
        <w:keepLines w:val="0"/>
        <w:pageBreakBefore w:val="0"/>
        <w:widowControl w:val="0"/>
        <w:kinsoku/>
        <w:wordWrap/>
        <w:overflowPunct w:val="0"/>
        <w:topLinePunct w:val="0"/>
        <w:autoSpaceDE/>
        <w:autoSpaceDN/>
        <w:bidi w:val="0"/>
        <w:adjustRightInd/>
        <w:snapToGrid/>
        <w:spacing w:line="590" w:lineRule="exact"/>
        <w:ind w:left="0" w:leftChars="0" w:right="0" w:rightChars="0" w:firstLine="0" w:firstLineChars="0"/>
        <w:jc w:val="center"/>
        <w:textAlignment w:val="auto"/>
        <w:rPr>
          <w:rFonts w:hint="eastAsia" w:ascii="Times New Roman" w:hAnsi="Times New Roman" w:eastAsia="黑体"/>
          <w:sz w:val="32"/>
          <w:szCs w:val="32"/>
        </w:rPr>
      </w:pPr>
      <w:r>
        <w:rPr>
          <w:rFonts w:hint="eastAsia" w:ascii="Times New Roman" w:hAnsi="Times New Roman" w:eastAsia="黑体"/>
          <w:sz w:val="32"/>
          <w:szCs w:val="32"/>
        </w:rPr>
        <w:t>第四章</w:t>
      </w:r>
      <w:r>
        <w:rPr>
          <w:rFonts w:hint="eastAsia" w:ascii="Times New Roman" w:hAnsi="Times New Roman" w:eastAsia="黑体"/>
          <w:sz w:val="32"/>
          <w:szCs w:val="32"/>
          <w:lang w:eastAsia="zh-CN"/>
        </w:rPr>
        <w:t>　</w:t>
      </w:r>
      <w:r>
        <w:rPr>
          <w:rFonts w:hint="eastAsia" w:ascii="Times New Roman" w:hAnsi="Times New Roman" w:eastAsia="黑体"/>
          <w:sz w:val="32"/>
          <w:szCs w:val="32"/>
        </w:rPr>
        <w:t>保障措施</w:t>
      </w:r>
    </w:p>
    <w:p w14:paraId="3EC5DA31">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7D7239A9">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第十条</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新能源</w:t>
      </w:r>
      <w:r>
        <w:rPr>
          <w:rFonts w:hint="eastAsia" w:ascii="Times New Roman" w:hAnsi="Times New Roman" w:eastAsia="仿宋_GB2312"/>
          <w:spacing w:val="9"/>
          <w:sz w:val="32"/>
          <w:szCs w:val="32"/>
        </w:rPr>
        <w:t>城市公交车辆动力电池更换工作应在确</w:t>
      </w:r>
      <w:r>
        <w:rPr>
          <w:rFonts w:hint="eastAsia" w:ascii="Times New Roman" w:hAnsi="Times New Roman" w:eastAsia="仿宋_GB2312"/>
          <w:sz w:val="32"/>
          <w:szCs w:val="32"/>
        </w:rPr>
        <w:t>保整车安全的前提下实施，新能源城市公交车辆运营企业、动力电池更换服务提供商应遵循“谁主张、谁负责；谁更换、谁负责”的原则，严格落实安全主体责任。各区（市）交通运输局负责督促申请人、动力电池更换服务提供商签订动力电池更换安全责任书，确保整车安全前提下实施更换工作。同时，要督促车辆生产企业、动力电池更换服务提供商对2024年以来更新的车辆、更换的动力电池安全性能进行跟踪检测，及时整改问题隐患，确保车辆运行安全。</w:t>
      </w:r>
    </w:p>
    <w:p w14:paraId="4BF892B0">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第十一条</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各区（市</w:t>
      </w:r>
      <w:r>
        <w:rPr>
          <w:rFonts w:hint="eastAsia" w:ascii="Times New Roman" w:hAnsi="Times New Roman" w:eastAsia="仿宋_GB2312"/>
          <w:spacing w:val="9"/>
          <w:sz w:val="32"/>
          <w:szCs w:val="32"/>
        </w:rPr>
        <w:t>）交通运输局要认真审核申请人</w:t>
      </w:r>
      <w:r>
        <w:rPr>
          <w:rFonts w:hint="eastAsia" w:ascii="Times New Roman" w:hAnsi="Times New Roman" w:eastAsia="仿宋_GB2312"/>
          <w:sz w:val="32"/>
          <w:szCs w:val="32"/>
        </w:rPr>
        <w:t>提交的补贴资金申请，并负责对补贴资金使用进行监管。各区（市）要落实主体责任，采取有效措施做好更新补贴政策跨年度顺畅衔接和平稳有序过渡。</w:t>
      </w:r>
    </w:p>
    <w:p w14:paraId="0725306D">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各区（市）交通运输局要积极协调相关部门加强对新能源城市公交车和动力电池价格的监管，及时处置串通涨价、哄抬价格等情况，确保更新补贴政策更多惠及城市公共汽电车企业。</w:t>
      </w:r>
    </w:p>
    <w:p w14:paraId="12E60542">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各区（市）交通运输局要会同有关方面督促申请人按照有关部门要求，将报废城市公交车及报废动力电池交售给具备相应资质的回收拆解企业；督促相关客车生产企业、动力电池生产企业、动力电池更换服务企业，按照《新能源汽车废旧动力电池回收和综合利用管理暂行办法》规定，及时向全国新能源汽车动力电池溯源信息平台（以下简称信息平台）报送新能源城市公交车动力电池更换信息。督促申请人跟踪相关企业在信息平台报送更换信息情况，并及时掌握、留档完成报送的佐证材料。各区（市）不得要求将报废公交车和报废动力电池交售给指定企业，不得另行设定具有地域性、技术产品指向性的补贴目录或企业名单。</w:t>
      </w:r>
    </w:p>
    <w:p w14:paraId="6CF3C3F4">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第十二条</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对发</w:t>
      </w:r>
      <w:r>
        <w:rPr>
          <w:rFonts w:hint="eastAsia" w:ascii="Times New Roman" w:hAnsi="Times New Roman" w:eastAsia="仿宋_GB2312"/>
          <w:spacing w:val="9"/>
          <w:sz w:val="32"/>
          <w:szCs w:val="32"/>
        </w:rPr>
        <w:t>现存在利用不正</w:t>
      </w:r>
      <w:r>
        <w:rPr>
          <w:rFonts w:hint="eastAsia" w:ascii="Times New Roman" w:hAnsi="Times New Roman" w:eastAsia="仿宋_GB2312"/>
          <w:sz w:val="32"/>
          <w:szCs w:val="32"/>
        </w:rPr>
        <w:t>当手段（包括伪造、变造相关材料虚假交易、串通他人提供虚假信息等）骗取补贴资金等违法行为的，各地有关部门依法依规严肃处理。</w:t>
      </w:r>
    </w:p>
    <w:p w14:paraId="500571FB">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第十三条</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对买卖、伪造、变造《报废机动车回收证明》，有关部门依据《报废机动车回收管理办法》（国务院令第715号）进行处理。</w:t>
      </w:r>
    </w:p>
    <w:p w14:paraId="6D41A624">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第十四条</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对挪</w:t>
      </w:r>
      <w:r>
        <w:rPr>
          <w:rFonts w:hint="eastAsia" w:ascii="Times New Roman" w:hAnsi="Times New Roman" w:eastAsia="仿宋_GB2312"/>
          <w:spacing w:val="9"/>
          <w:sz w:val="32"/>
          <w:szCs w:val="32"/>
        </w:rPr>
        <w:t>用、骗取补贴资金的</w:t>
      </w:r>
      <w:r>
        <w:rPr>
          <w:rFonts w:hint="eastAsia" w:ascii="Times New Roman" w:hAnsi="Times New Roman" w:eastAsia="仿宋_GB2312"/>
          <w:sz w:val="32"/>
          <w:szCs w:val="32"/>
        </w:rPr>
        <w:t>单位和个人，有关部门依据《财政违法行为处罚处分条例》（国务院令第427号）及其他有关法规进行处理。</w:t>
      </w:r>
    </w:p>
    <w:p w14:paraId="179EAA6F">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2ACC88C6">
      <w:pPr>
        <w:pStyle w:val="5"/>
        <w:keepNext w:val="0"/>
        <w:keepLines w:val="0"/>
        <w:pageBreakBefore w:val="0"/>
        <w:widowControl w:val="0"/>
        <w:kinsoku/>
        <w:wordWrap/>
        <w:overflowPunct w:val="0"/>
        <w:topLinePunct w:val="0"/>
        <w:autoSpaceDE/>
        <w:autoSpaceDN/>
        <w:bidi w:val="0"/>
        <w:adjustRightInd/>
        <w:snapToGrid/>
        <w:spacing w:line="590" w:lineRule="exact"/>
        <w:ind w:left="0" w:leftChars="0" w:right="0" w:rightChars="0" w:firstLine="0" w:firstLineChars="0"/>
        <w:jc w:val="center"/>
        <w:textAlignment w:val="auto"/>
        <w:rPr>
          <w:rFonts w:hint="eastAsia" w:ascii="Times New Roman" w:hAnsi="Times New Roman" w:eastAsia="黑体"/>
          <w:sz w:val="32"/>
          <w:szCs w:val="32"/>
        </w:rPr>
      </w:pPr>
      <w:r>
        <w:rPr>
          <w:rFonts w:hint="eastAsia" w:ascii="Times New Roman" w:hAnsi="Times New Roman" w:eastAsia="黑体"/>
          <w:sz w:val="32"/>
          <w:szCs w:val="32"/>
        </w:rPr>
        <w:t>第五章</w:t>
      </w:r>
      <w:r>
        <w:rPr>
          <w:rFonts w:hint="eastAsia" w:ascii="Times New Roman" w:hAnsi="Times New Roman" w:eastAsia="黑体"/>
          <w:sz w:val="32"/>
          <w:szCs w:val="32"/>
          <w:lang w:eastAsia="zh-CN"/>
        </w:rPr>
        <w:t>　</w:t>
      </w:r>
      <w:r>
        <w:rPr>
          <w:rFonts w:hint="eastAsia" w:ascii="Times New Roman" w:hAnsi="Times New Roman" w:eastAsia="黑体"/>
          <w:sz w:val="32"/>
          <w:szCs w:val="32"/>
        </w:rPr>
        <w:t>附</w:t>
      </w:r>
      <w:r>
        <w:rPr>
          <w:rFonts w:hint="eastAsia" w:ascii="Times New Roman" w:hAnsi="Times New Roman" w:eastAsia="黑体"/>
          <w:sz w:val="32"/>
          <w:szCs w:val="32"/>
          <w:lang w:eastAsia="zh-CN"/>
        </w:rPr>
        <w:t>　</w:t>
      </w:r>
      <w:r>
        <w:rPr>
          <w:rFonts w:hint="eastAsia" w:ascii="Times New Roman" w:hAnsi="Times New Roman" w:eastAsia="黑体"/>
          <w:sz w:val="32"/>
          <w:szCs w:val="32"/>
        </w:rPr>
        <w:t>则</w:t>
      </w:r>
    </w:p>
    <w:p w14:paraId="091C00C9">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480E66E0">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第十五条</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本细则自发布之日起执行。</w:t>
      </w:r>
    </w:p>
    <w:p w14:paraId="541C50BF">
      <w:pPr>
        <w:pStyle w:val="5"/>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eastAsia" w:ascii="Times New Roman" w:hAnsi="Times New Roman" w:eastAsia="仿宋_GB2312"/>
          <w:spacing w:val="9"/>
          <w:sz w:val="32"/>
          <w:szCs w:val="32"/>
        </w:rPr>
      </w:pPr>
      <w:r>
        <w:rPr>
          <w:rFonts w:hint="eastAsia" w:ascii="Times New Roman" w:hAnsi="Times New Roman" w:eastAsia="仿宋_GB2312"/>
          <w:b/>
          <w:bCs/>
          <w:sz w:val="32"/>
          <w:szCs w:val="32"/>
        </w:rPr>
        <w:t>第十六条</w:t>
      </w:r>
      <w:r>
        <w:rPr>
          <w:rFonts w:hint="eastAsia" w:ascii="Times New Roman" w:hAnsi="Times New Roman" w:eastAsia="仿宋_GB2312"/>
          <w:sz w:val="32"/>
          <w:szCs w:val="32"/>
          <w:lang w:eastAsia="zh-CN"/>
        </w:rPr>
        <w:t>　</w:t>
      </w:r>
      <w:r>
        <w:rPr>
          <w:rFonts w:hint="eastAsia" w:ascii="Times New Roman" w:hAnsi="Times New Roman" w:eastAsia="仿宋_GB2312"/>
          <w:sz w:val="32"/>
          <w:szCs w:val="32"/>
        </w:rPr>
        <w:t>本细则</w:t>
      </w:r>
      <w:r>
        <w:rPr>
          <w:rFonts w:hint="eastAsia" w:ascii="Times New Roman" w:hAnsi="Times New Roman" w:eastAsia="仿宋_GB2312"/>
          <w:spacing w:val="9"/>
          <w:sz w:val="32"/>
          <w:szCs w:val="32"/>
        </w:rPr>
        <w:t>由市交通运输局、市发展改革委按照职责负责解释。</w:t>
      </w:r>
    </w:p>
    <w:p w14:paraId="20C3F7BA">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7383FAED">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附件：1.新能源城市公交车及动力电池更新补贴申请表</w:t>
      </w:r>
    </w:p>
    <w:p w14:paraId="6065783A">
      <w:pPr>
        <w:pStyle w:val="5"/>
        <w:keepNext w:val="0"/>
        <w:keepLines w:val="0"/>
        <w:pageBreakBefore w:val="0"/>
        <w:widowControl w:val="0"/>
        <w:kinsoku/>
        <w:wordWrap/>
        <w:overflowPunct w:val="0"/>
        <w:topLinePunct w:val="0"/>
        <w:autoSpaceDE/>
        <w:autoSpaceDN/>
        <w:bidi w:val="0"/>
        <w:adjustRightInd/>
        <w:snapToGrid/>
        <w:spacing w:line="590" w:lineRule="exact"/>
        <w:ind w:firstLine="1600" w:firstLineChars="5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2.新能源城市公交车车辆更新明细表</w:t>
      </w:r>
    </w:p>
    <w:p w14:paraId="3BBE59A4">
      <w:pPr>
        <w:pStyle w:val="5"/>
        <w:keepNext w:val="0"/>
        <w:keepLines w:val="0"/>
        <w:pageBreakBefore w:val="0"/>
        <w:widowControl w:val="0"/>
        <w:kinsoku/>
        <w:wordWrap/>
        <w:overflowPunct w:val="0"/>
        <w:topLinePunct w:val="0"/>
        <w:autoSpaceDE/>
        <w:autoSpaceDN/>
        <w:bidi w:val="0"/>
        <w:adjustRightInd/>
        <w:snapToGrid/>
        <w:spacing w:line="590" w:lineRule="exact"/>
        <w:ind w:firstLine="1600" w:firstLineChars="5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3.新能源城市公交车动力电池更换明细表</w:t>
      </w:r>
    </w:p>
    <w:p w14:paraId="7DF51EE5">
      <w:pPr>
        <w:rPr>
          <w:rFonts w:hint="eastAsia" w:ascii="Times New Roman" w:hAnsi="Times New Roman" w:eastAsia="仿宋_GB2312"/>
          <w:sz w:val="32"/>
          <w:szCs w:val="32"/>
        </w:rPr>
      </w:pPr>
    </w:p>
    <w:p w14:paraId="7A1EF9A7">
      <w:pPr>
        <w:rPr>
          <w:rFonts w:hint="eastAsia" w:ascii="Times New Roman" w:hAnsi="Times New Roman" w:eastAsia="仿宋_GB2312"/>
          <w:sz w:val="32"/>
          <w:szCs w:val="32"/>
        </w:rPr>
        <w:sectPr>
          <w:headerReference r:id="rId3" w:type="default"/>
          <w:footerReference r:id="rId4" w:type="default"/>
          <w:pgSz w:w="11905" w:h="16838"/>
          <w:pgMar w:top="1984" w:right="1531" w:bottom="1701" w:left="1531" w:header="720" w:footer="1417" w:gutter="0"/>
          <w:pgNumType w:fmt="decimal"/>
          <w:cols w:space="0" w:num="1"/>
          <w:rtlGutter w:val="0"/>
          <w:docGrid w:linePitch="0" w:charSpace="0"/>
        </w:sectPr>
      </w:pPr>
    </w:p>
    <w:p w14:paraId="2489B011">
      <w:pPr>
        <w:pStyle w:val="5"/>
        <w:keepNext w:val="0"/>
        <w:keepLines w:val="0"/>
        <w:pageBreakBefore w:val="0"/>
        <w:widowControl w:val="0"/>
        <w:kinsoku/>
        <w:wordWrap/>
        <w:overflowPunct w:val="0"/>
        <w:topLinePunct w:val="0"/>
        <w:autoSpaceDE/>
        <w:autoSpaceDN/>
        <w:bidi w:val="0"/>
        <w:adjustRightInd/>
        <w:snapToGrid/>
        <w:spacing w:line="590" w:lineRule="exact"/>
        <w:ind w:left="0" w:leftChars="0" w:right="0" w:rightChars="0" w:firstLine="0" w:firstLineChars="0"/>
        <w:jc w:val="both"/>
        <w:textAlignment w:val="auto"/>
        <w:rPr>
          <w:rFonts w:hint="eastAsia" w:ascii="Times New Roman" w:hAnsi="Times New Roman" w:eastAsia="黑体"/>
          <w:sz w:val="32"/>
          <w:szCs w:val="32"/>
        </w:rPr>
      </w:pPr>
      <w:r>
        <w:rPr>
          <w:rFonts w:hint="eastAsia" w:ascii="Times New Roman" w:hAnsi="Times New Roman" w:eastAsia="黑体"/>
          <w:sz w:val="32"/>
          <w:szCs w:val="32"/>
        </w:rPr>
        <w:t>附件1</w:t>
      </w:r>
    </w:p>
    <w:p w14:paraId="1D9E3C13">
      <w:pPr>
        <w:keepNext w:val="0"/>
        <w:keepLines w:val="0"/>
        <w:pageBreakBefore w:val="0"/>
        <w:widowControl w:val="0"/>
        <w:kinsoku/>
        <w:wordWrap/>
        <w:overflowPunct w:val="0"/>
        <w:topLinePunct/>
        <w:autoSpaceDE/>
        <w:autoSpaceDN/>
        <w:bidi w:val="0"/>
        <w:adjustRightInd w:val="0"/>
        <w:snapToGrid w:val="0"/>
        <w:spacing w:line="700" w:lineRule="exact"/>
        <w:jc w:val="center"/>
        <w:textAlignment w:val="auto"/>
        <w:outlineLvl w:val="0"/>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新能源城市公交车及动力电池更新补贴申请表</w:t>
      </w:r>
    </w:p>
    <w:p w14:paraId="2A83E24E">
      <w:pPr>
        <w:pStyle w:val="5"/>
        <w:keepNext w:val="0"/>
        <w:keepLines w:val="0"/>
        <w:pageBreakBefore w:val="0"/>
        <w:widowControl w:val="0"/>
        <w:kinsoku/>
        <w:wordWrap/>
        <w:overflowPunct w:val="0"/>
        <w:topLinePunct w:val="0"/>
        <w:autoSpaceDE/>
        <w:autoSpaceDN/>
        <w:bidi w:val="0"/>
        <w:adjustRightInd/>
        <w:snapToGrid/>
        <w:spacing w:line="240" w:lineRule="auto"/>
        <w:textAlignment w:val="auto"/>
        <w:rPr>
          <w:rFonts w:hint="eastAsia" w:ascii="Times New Roman" w:hAnsi="Times New Roman" w:eastAsia="仿宋_GB2312"/>
          <w:sz w:val="32"/>
          <w:szCs w:val="32"/>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61"/>
        <w:gridCol w:w="1361"/>
        <w:gridCol w:w="1361"/>
        <w:gridCol w:w="1361"/>
        <w:gridCol w:w="1361"/>
        <w:gridCol w:w="1361"/>
        <w:gridCol w:w="1361"/>
        <w:gridCol w:w="1361"/>
        <w:gridCol w:w="1361"/>
        <w:gridCol w:w="1361"/>
        <w:gridCol w:w="1361"/>
      </w:tblGrid>
      <w:tr w14:paraId="6293D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3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17F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申请人</w:t>
            </w:r>
          </w:p>
        </w:tc>
        <w:tc>
          <w:tcPr>
            <w:tcW w:w="136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D5CF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2C8B3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36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B9893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新能源城市公交车车辆更新数（辆）</w:t>
            </w:r>
            <w:r>
              <w:rPr>
                <w:rFonts w:hint="eastAsia" w:asciiTheme="minorEastAsia" w:hAnsiTheme="minorEastAsia" w:eastAsiaTheme="minorEastAsia" w:cstheme="minorEastAsia"/>
                <w:i w:val="0"/>
                <w:iCs w:val="0"/>
                <w:color w:val="auto"/>
                <w:kern w:val="0"/>
                <w:sz w:val="22"/>
                <w:szCs w:val="22"/>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u w:val="none"/>
                <w:lang w:val="en-US" w:eastAsia="zh-CN" w:bidi="ar"/>
              </w:rPr>
              <w:t>（L表示车辆长度）</w:t>
            </w:r>
          </w:p>
        </w:tc>
        <w:tc>
          <w:tcPr>
            <w:tcW w:w="13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E55F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动力电池更换车辆数（辆）</w:t>
            </w:r>
          </w:p>
        </w:tc>
        <w:tc>
          <w:tcPr>
            <w:tcW w:w="13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6C8F2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申请补贴金额（万元）</w:t>
            </w:r>
          </w:p>
        </w:tc>
        <w:tc>
          <w:tcPr>
            <w:tcW w:w="13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05575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收款账户信息</w:t>
            </w:r>
          </w:p>
        </w:tc>
      </w:tr>
      <w:tr w14:paraId="7F327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AEC4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L＜6m</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644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6m≤L＜8m</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F8A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8m≤L＜10m</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ECF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L≥10m</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589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合计</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61D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pacing w:val="-20"/>
                <w:kern w:val="0"/>
                <w:sz w:val="22"/>
                <w:szCs w:val="22"/>
                <w:u w:val="none"/>
                <w:lang w:val="en-US" w:eastAsia="zh-CN" w:bidi="ar"/>
              </w:rPr>
            </w:pPr>
            <w:r>
              <w:rPr>
                <w:rFonts w:hint="eastAsia" w:asciiTheme="minorEastAsia" w:hAnsiTheme="minorEastAsia" w:eastAsiaTheme="minorEastAsia" w:cstheme="minorEastAsia"/>
                <w:i w:val="0"/>
                <w:iCs w:val="0"/>
                <w:color w:val="auto"/>
                <w:spacing w:val="-20"/>
                <w:kern w:val="0"/>
                <w:sz w:val="22"/>
                <w:szCs w:val="22"/>
                <w:u w:val="none"/>
                <w:lang w:val="en-US" w:eastAsia="zh-CN" w:bidi="ar"/>
              </w:rPr>
              <w:t>其中：低地板及低入口车</w:t>
            </w:r>
          </w:p>
        </w:tc>
        <w:tc>
          <w:tcPr>
            <w:tcW w:w="13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092E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3402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492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账号</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4CD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户名</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121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开户行</w:t>
            </w:r>
          </w:p>
        </w:tc>
      </w:tr>
      <w:tr w14:paraId="29BF3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FB1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4A70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3DE8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DE5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3AFC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1D5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06D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457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200D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1C6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389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2B64A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3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D9152C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both"/>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本次应拨付</w:t>
            </w:r>
            <w:r>
              <w:rPr>
                <w:rFonts w:hint="eastAsia" w:asciiTheme="minorEastAsia" w:hAnsiTheme="minorEastAsia" w:cstheme="minorEastAsia"/>
                <w:i w:val="0"/>
                <w:iCs w:val="0"/>
                <w:color w:val="auto"/>
                <w:kern w:val="0"/>
                <w:sz w:val="22"/>
                <w:szCs w:val="22"/>
                <w:u w:val="none"/>
                <w:lang w:val="en-US" w:eastAsia="zh-CN" w:bidi="ar"/>
              </w:rPr>
              <w:t>　　　　</w:t>
            </w:r>
            <w:r>
              <w:rPr>
                <w:rFonts w:hint="eastAsia" w:asciiTheme="minorEastAsia" w:hAnsiTheme="minorEastAsia" w:eastAsiaTheme="minorEastAsia" w:cstheme="minorEastAsia"/>
                <w:i w:val="0"/>
                <w:iCs w:val="0"/>
                <w:color w:val="auto"/>
                <w:kern w:val="0"/>
                <w:sz w:val="22"/>
                <w:szCs w:val="22"/>
                <w:u w:val="none"/>
                <w:lang w:val="en-US" w:eastAsia="zh-CN" w:bidi="ar"/>
              </w:rPr>
              <w:t>万元。</w:t>
            </w:r>
          </w:p>
        </w:tc>
      </w:tr>
      <w:tr w14:paraId="10535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4" w:hRule="atLeast"/>
          <w:jc w:val="center"/>
        </w:trPr>
        <w:tc>
          <w:tcPr>
            <w:tcW w:w="13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5AFDC9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440" w:firstLineChars="200"/>
              <w:jc w:val="both"/>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我司承诺提交的申请信息及所附明细表、佐证材料（含电子版）均真实有效，对申报信息真实性负责。我司上述新能源公交车及动力电池更新数量所含车辆均符合补贴范围，新购车辆不含乘用车。如存在虚假不实、重复申报等行为，我司承担一切责任后果。</w:t>
            </w:r>
            <w:r>
              <w:rPr>
                <w:rFonts w:hint="eastAsia" w:asciiTheme="minorEastAsia" w:hAnsiTheme="minorEastAsia" w:eastAsiaTheme="minorEastAsia" w:cstheme="minorEastAsia"/>
                <w:i w:val="0"/>
                <w:iCs w:val="0"/>
                <w:color w:val="auto"/>
                <w:kern w:val="0"/>
                <w:sz w:val="22"/>
                <w:szCs w:val="22"/>
                <w:u w:val="none"/>
                <w:lang w:val="en-US" w:eastAsia="zh-CN" w:bidi="ar"/>
              </w:rPr>
              <w:br w:type="textWrapping"/>
            </w:r>
          </w:p>
          <w:p w14:paraId="01EF079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440" w:firstLineChars="200"/>
              <w:jc w:val="both"/>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负责人（签字）：</w:t>
            </w:r>
            <w:r>
              <w:rPr>
                <w:rFonts w:hint="eastAsia" w:asciiTheme="minorEastAsia" w:hAnsiTheme="minorEastAsia" w:cstheme="minorEastAsia"/>
                <w:i w:val="0"/>
                <w:iCs w:val="0"/>
                <w:color w:val="auto"/>
                <w:kern w:val="0"/>
                <w:sz w:val="22"/>
                <w:szCs w:val="22"/>
                <w:u w:val="none"/>
                <w:lang w:val="en-US" w:eastAsia="zh-CN" w:bidi="ar"/>
              </w:rPr>
              <w:t>　　　　　　　　　　　　　　　　　</w:t>
            </w:r>
            <w:r>
              <w:rPr>
                <w:rFonts w:hint="eastAsia" w:asciiTheme="minorEastAsia" w:hAnsiTheme="minorEastAsia" w:eastAsiaTheme="minorEastAsia" w:cstheme="minorEastAsia"/>
                <w:i w:val="0"/>
                <w:iCs w:val="0"/>
                <w:color w:val="auto"/>
                <w:kern w:val="0"/>
                <w:sz w:val="22"/>
                <w:szCs w:val="22"/>
                <w:u w:val="none"/>
                <w:lang w:val="en-US" w:eastAsia="zh-CN" w:bidi="ar"/>
              </w:rPr>
              <w:t>经办人（签字）：</w:t>
            </w:r>
            <w:r>
              <w:rPr>
                <w:rFonts w:hint="eastAsia" w:asciiTheme="minorEastAsia" w:hAnsiTheme="minorEastAsia" w:cstheme="minorEastAsia"/>
                <w:i w:val="0"/>
                <w:iCs w:val="0"/>
                <w:color w:val="auto"/>
                <w:kern w:val="0"/>
                <w:sz w:val="22"/>
                <w:szCs w:val="22"/>
                <w:u w:val="none"/>
                <w:lang w:val="en-US" w:eastAsia="zh-CN" w:bidi="ar"/>
              </w:rPr>
              <w:t>　　　　　　　　　　　　　　　　　</w:t>
            </w:r>
            <w:r>
              <w:rPr>
                <w:rFonts w:hint="eastAsia" w:asciiTheme="minorEastAsia" w:hAnsiTheme="minorEastAsia" w:eastAsiaTheme="minorEastAsia" w:cstheme="minorEastAsia"/>
                <w:i w:val="0"/>
                <w:iCs w:val="0"/>
                <w:color w:val="auto"/>
                <w:kern w:val="0"/>
                <w:sz w:val="22"/>
                <w:szCs w:val="22"/>
                <w:u w:val="none"/>
                <w:lang w:val="en-US" w:eastAsia="zh-CN" w:bidi="ar"/>
              </w:rPr>
              <w:t>联系电话：</w:t>
            </w:r>
          </w:p>
          <w:p w14:paraId="65D0749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440" w:firstLineChars="200"/>
              <w:jc w:val="both"/>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p w14:paraId="5E94298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440" w:firstLineChars="200"/>
              <w:jc w:val="both"/>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申请人（加盖公章）：****公司</w:t>
            </w:r>
            <w:r>
              <w:rPr>
                <w:rFonts w:hint="eastAsia" w:asciiTheme="minorEastAsia" w:hAnsiTheme="minorEastAsia" w:cstheme="minorEastAsia"/>
                <w:i w:val="0"/>
                <w:iCs w:val="0"/>
                <w:color w:val="auto"/>
                <w:kern w:val="0"/>
                <w:sz w:val="22"/>
                <w:szCs w:val="22"/>
                <w:u w:val="none"/>
                <w:lang w:val="en-US" w:eastAsia="zh-CN" w:bidi="ar"/>
              </w:rPr>
              <w:t>　　　　　　　　　　　　　　　　　　　　　　　　　　　　　　　　　　　　</w:t>
            </w:r>
            <w:r>
              <w:rPr>
                <w:rFonts w:hint="eastAsia" w:asciiTheme="minorEastAsia" w:hAnsiTheme="minorEastAsia" w:eastAsiaTheme="minorEastAsia" w:cstheme="minorEastAsia"/>
                <w:i w:val="0"/>
                <w:iCs w:val="0"/>
                <w:color w:val="auto"/>
                <w:kern w:val="0"/>
                <w:sz w:val="22"/>
                <w:szCs w:val="22"/>
                <w:u w:val="none"/>
                <w:lang w:val="en-US" w:eastAsia="zh-CN" w:bidi="ar"/>
              </w:rPr>
              <w:t>填报日期：202</w:t>
            </w:r>
            <w:r>
              <w:rPr>
                <w:rFonts w:hint="eastAsia" w:asciiTheme="minorEastAsia" w:hAnsiTheme="minorEastAsia" w:cstheme="minorEastAsia"/>
                <w:i w:val="0"/>
                <w:iCs w:val="0"/>
                <w:color w:val="auto"/>
                <w:kern w:val="0"/>
                <w:sz w:val="22"/>
                <w:szCs w:val="22"/>
                <w:u w:val="none"/>
                <w:lang w:val="en-US" w:eastAsia="zh-CN" w:bidi="ar"/>
              </w:rPr>
              <w:t>6</w:t>
            </w:r>
            <w:r>
              <w:rPr>
                <w:rFonts w:hint="eastAsia" w:asciiTheme="minorEastAsia" w:hAnsiTheme="minorEastAsia" w:eastAsiaTheme="minorEastAsia" w:cstheme="minorEastAsia"/>
                <w:i w:val="0"/>
                <w:iCs w:val="0"/>
                <w:color w:val="auto"/>
                <w:kern w:val="0"/>
                <w:sz w:val="22"/>
                <w:szCs w:val="22"/>
                <w:u w:val="none"/>
                <w:lang w:val="en-US" w:eastAsia="zh-CN" w:bidi="ar"/>
              </w:rPr>
              <w:t>年</w:t>
            </w:r>
            <w:r>
              <w:rPr>
                <w:rFonts w:hint="eastAsia" w:asciiTheme="minorEastAsia" w:hAnsiTheme="minorEastAsia" w:cstheme="minorEastAsia"/>
                <w:i w:val="0"/>
                <w:iCs w:val="0"/>
                <w:color w:val="auto"/>
                <w:kern w:val="0"/>
                <w:sz w:val="22"/>
                <w:szCs w:val="22"/>
                <w:u w:val="none"/>
                <w:lang w:val="en-US" w:eastAsia="zh-CN" w:bidi="ar"/>
              </w:rPr>
              <w:t>　　</w:t>
            </w:r>
            <w:r>
              <w:rPr>
                <w:rFonts w:hint="eastAsia" w:asciiTheme="minorEastAsia" w:hAnsiTheme="minorEastAsia" w:eastAsiaTheme="minorEastAsia" w:cstheme="minorEastAsia"/>
                <w:i w:val="0"/>
                <w:iCs w:val="0"/>
                <w:color w:val="auto"/>
                <w:kern w:val="0"/>
                <w:sz w:val="22"/>
                <w:szCs w:val="22"/>
                <w:u w:val="none"/>
                <w:lang w:val="en-US" w:eastAsia="zh-CN" w:bidi="ar"/>
              </w:rPr>
              <w:t>月</w:t>
            </w:r>
            <w:r>
              <w:rPr>
                <w:rFonts w:hint="eastAsia" w:asciiTheme="minorEastAsia" w:hAnsiTheme="minorEastAsia" w:cstheme="minorEastAsia"/>
                <w:i w:val="0"/>
                <w:iCs w:val="0"/>
                <w:color w:val="auto"/>
                <w:kern w:val="0"/>
                <w:sz w:val="22"/>
                <w:szCs w:val="22"/>
                <w:u w:val="none"/>
                <w:lang w:val="en-US" w:eastAsia="zh-CN" w:bidi="ar"/>
              </w:rPr>
              <w:t>　　</w:t>
            </w:r>
            <w:r>
              <w:rPr>
                <w:rFonts w:hint="eastAsia" w:asciiTheme="minorEastAsia" w:hAnsiTheme="minorEastAsia" w:eastAsiaTheme="minorEastAsia" w:cstheme="minorEastAsia"/>
                <w:i w:val="0"/>
                <w:iCs w:val="0"/>
                <w:color w:val="auto"/>
                <w:kern w:val="0"/>
                <w:sz w:val="22"/>
                <w:szCs w:val="22"/>
                <w:u w:val="none"/>
                <w:lang w:val="en-US" w:eastAsia="zh-CN" w:bidi="ar"/>
              </w:rPr>
              <w:t>日</w:t>
            </w:r>
          </w:p>
        </w:tc>
      </w:tr>
      <w:tr w14:paraId="3142B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4" w:hRule="atLeast"/>
          <w:jc w:val="center"/>
        </w:trPr>
        <w:tc>
          <w:tcPr>
            <w:tcW w:w="13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06E82A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440" w:firstLineChars="200"/>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区（市）交通运输主管部门审核意见：</w:t>
            </w:r>
            <w:r>
              <w:rPr>
                <w:rFonts w:hint="eastAsia" w:asciiTheme="minorEastAsia" w:hAnsiTheme="minorEastAsia" w:eastAsiaTheme="minorEastAsia" w:cstheme="minorEastAsia"/>
                <w:i w:val="0"/>
                <w:iCs w:val="0"/>
                <w:color w:val="auto"/>
                <w:kern w:val="0"/>
                <w:sz w:val="22"/>
                <w:szCs w:val="22"/>
                <w:u w:val="none"/>
                <w:lang w:val="en-US" w:eastAsia="zh-CN" w:bidi="ar"/>
              </w:rPr>
              <w:br w:type="textWrapping"/>
            </w:r>
          </w:p>
          <w:p w14:paraId="7F8D2FF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440" w:firstLineChars="200"/>
              <w:jc w:val="both"/>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p w14:paraId="4A934F4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440" w:firstLineChars="200"/>
              <w:jc w:val="both"/>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分管负责人（签字）：</w:t>
            </w:r>
            <w:r>
              <w:rPr>
                <w:rFonts w:hint="eastAsia" w:asciiTheme="minorEastAsia" w:hAnsiTheme="minorEastAsia" w:cstheme="minorEastAsia"/>
                <w:i w:val="0"/>
                <w:iCs w:val="0"/>
                <w:color w:val="auto"/>
                <w:kern w:val="0"/>
                <w:sz w:val="22"/>
                <w:szCs w:val="22"/>
                <w:u w:val="none"/>
                <w:lang w:val="en-US" w:eastAsia="zh-CN" w:bidi="ar"/>
              </w:rPr>
              <w:t>　　　　　　　　　　　　　　　</w:t>
            </w:r>
            <w:r>
              <w:rPr>
                <w:rFonts w:hint="eastAsia" w:asciiTheme="minorEastAsia" w:hAnsiTheme="minorEastAsia" w:eastAsiaTheme="minorEastAsia" w:cstheme="minorEastAsia"/>
                <w:i w:val="0"/>
                <w:iCs w:val="0"/>
                <w:color w:val="auto"/>
                <w:kern w:val="0"/>
                <w:sz w:val="22"/>
                <w:szCs w:val="22"/>
                <w:u w:val="none"/>
                <w:lang w:val="en-US" w:eastAsia="zh-CN" w:bidi="ar"/>
              </w:rPr>
              <w:t>经办人（签字）：</w:t>
            </w:r>
            <w:r>
              <w:rPr>
                <w:rFonts w:hint="eastAsia" w:asciiTheme="minorEastAsia" w:hAnsiTheme="minorEastAsia" w:cstheme="minorEastAsia"/>
                <w:i w:val="0"/>
                <w:iCs w:val="0"/>
                <w:color w:val="auto"/>
                <w:kern w:val="0"/>
                <w:sz w:val="22"/>
                <w:szCs w:val="22"/>
                <w:u w:val="none"/>
                <w:lang w:val="en-US" w:eastAsia="zh-CN" w:bidi="ar"/>
              </w:rPr>
              <w:t>　　　　　　　　　　　　　　　　　</w:t>
            </w:r>
            <w:r>
              <w:rPr>
                <w:rFonts w:hint="eastAsia" w:asciiTheme="minorEastAsia" w:hAnsiTheme="minorEastAsia" w:eastAsiaTheme="minorEastAsia" w:cstheme="minorEastAsia"/>
                <w:i w:val="0"/>
                <w:iCs w:val="0"/>
                <w:color w:val="auto"/>
                <w:kern w:val="0"/>
                <w:sz w:val="22"/>
                <w:szCs w:val="22"/>
                <w:u w:val="none"/>
                <w:lang w:val="en-US" w:eastAsia="zh-CN" w:bidi="ar"/>
              </w:rPr>
              <w:t>联系电话：</w:t>
            </w:r>
          </w:p>
          <w:p w14:paraId="744F2275">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440" w:firstLineChars="200"/>
              <w:jc w:val="both"/>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p w14:paraId="190A4B0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440" w:firstLineChars="200"/>
              <w:jc w:val="both"/>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区（市）交通运输局（加盖公章）</w:t>
            </w:r>
            <w:r>
              <w:rPr>
                <w:rFonts w:hint="eastAsia" w:asciiTheme="minorEastAsia" w:hAnsiTheme="minorEastAsia" w:cstheme="minorEastAsia"/>
                <w:i w:val="0"/>
                <w:iCs w:val="0"/>
                <w:color w:val="auto"/>
                <w:kern w:val="0"/>
                <w:sz w:val="22"/>
                <w:szCs w:val="22"/>
                <w:u w:val="none"/>
                <w:lang w:val="en-US" w:eastAsia="zh-CN" w:bidi="ar"/>
              </w:rPr>
              <w:t>　　　　　　　　　　　　　　　　　　　　　　　　　　　　　　　　　　　　　　　　</w:t>
            </w:r>
            <w:r>
              <w:rPr>
                <w:rFonts w:hint="eastAsia" w:asciiTheme="minorEastAsia" w:hAnsiTheme="minorEastAsia" w:eastAsiaTheme="minorEastAsia" w:cstheme="minorEastAsia"/>
                <w:i w:val="0"/>
                <w:iCs w:val="0"/>
                <w:color w:val="auto"/>
                <w:kern w:val="0"/>
                <w:sz w:val="22"/>
                <w:szCs w:val="22"/>
                <w:u w:val="none"/>
                <w:lang w:val="en-US" w:eastAsia="zh-CN" w:bidi="ar"/>
              </w:rPr>
              <w:t>202</w:t>
            </w:r>
            <w:r>
              <w:rPr>
                <w:rFonts w:hint="eastAsia" w:asciiTheme="minorEastAsia" w:hAnsiTheme="minorEastAsia" w:cstheme="minorEastAsia"/>
                <w:i w:val="0"/>
                <w:iCs w:val="0"/>
                <w:color w:val="auto"/>
                <w:kern w:val="0"/>
                <w:sz w:val="22"/>
                <w:szCs w:val="22"/>
                <w:u w:val="none"/>
                <w:lang w:val="en-US" w:eastAsia="zh-CN" w:bidi="ar"/>
              </w:rPr>
              <w:t>6</w:t>
            </w:r>
            <w:r>
              <w:rPr>
                <w:rFonts w:hint="eastAsia" w:asciiTheme="minorEastAsia" w:hAnsiTheme="minorEastAsia" w:eastAsiaTheme="minorEastAsia" w:cstheme="minorEastAsia"/>
                <w:i w:val="0"/>
                <w:iCs w:val="0"/>
                <w:color w:val="auto"/>
                <w:kern w:val="0"/>
                <w:sz w:val="22"/>
                <w:szCs w:val="22"/>
                <w:u w:val="none"/>
                <w:lang w:val="en-US" w:eastAsia="zh-CN" w:bidi="ar"/>
              </w:rPr>
              <w:t>年</w:t>
            </w:r>
            <w:r>
              <w:rPr>
                <w:rFonts w:hint="eastAsia" w:asciiTheme="minorEastAsia" w:hAnsiTheme="minorEastAsia" w:cstheme="minorEastAsia"/>
                <w:i w:val="0"/>
                <w:iCs w:val="0"/>
                <w:color w:val="auto"/>
                <w:kern w:val="0"/>
                <w:sz w:val="22"/>
                <w:szCs w:val="22"/>
                <w:u w:val="none"/>
                <w:lang w:val="en-US" w:eastAsia="zh-CN" w:bidi="ar"/>
              </w:rPr>
              <w:t>　　</w:t>
            </w:r>
            <w:r>
              <w:rPr>
                <w:rFonts w:hint="eastAsia" w:asciiTheme="minorEastAsia" w:hAnsiTheme="minorEastAsia" w:eastAsiaTheme="minorEastAsia" w:cstheme="minorEastAsia"/>
                <w:i w:val="0"/>
                <w:iCs w:val="0"/>
                <w:color w:val="auto"/>
                <w:kern w:val="0"/>
                <w:sz w:val="22"/>
                <w:szCs w:val="22"/>
                <w:u w:val="none"/>
                <w:lang w:val="en-US" w:eastAsia="zh-CN" w:bidi="ar"/>
              </w:rPr>
              <w:t>月</w:t>
            </w:r>
            <w:r>
              <w:rPr>
                <w:rFonts w:hint="eastAsia" w:asciiTheme="minorEastAsia" w:hAnsiTheme="minorEastAsia" w:cstheme="minorEastAsia"/>
                <w:i w:val="0"/>
                <w:iCs w:val="0"/>
                <w:color w:val="auto"/>
                <w:kern w:val="0"/>
                <w:sz w:val="22"/>
                <w:szCs w:val="22"/>
                <w:u w:val="none"/>
                <w:lang w:val="en-US" w:eastAsia="zh-CN" w:bidi="ar"/>
              </w:rPr>
              <w:t>　　</w:t>
            </w:r>
            <w:r>
              <w:rPr>
                <w:rFonts w:hint="eastAsia" w:asciiTheme="minorEastAsia" w:hAnsiTheme="minorEastAsia" w:eastAsiaTheme="minorEastAsia" w:cstheme="minorEastAsia"/>
                <w:i w:val="0"/>
                <w:iCs w:val="0"/>
                <w:color w:val="auto"/>
                <w:kern w:val="0"/>
                <w:sz w:val="22"/>
                <w:szCs w:val="22"/>
                <w:u w:val="none"/>
                <w:lang w:val="en-US" w:eastAsia="zh-CN" w:bidi="ar"/>
              </w:rPr>
              <w:t>日</w:t>
            </w:r>
          </w:p>
        </w:tc>
      </w:tr>
    </w:tbl>
    <w:p w14:paraId="38B8CD29">
      <w:pPr>
        <w:rPr>
          <w:rFonts w:hint="eastAsia" w:ascii="Times New Roman" w:hAnsi="Times New Roman" w:eastAsia="仿宋_GB2312"/>
          <w:sz w:val="32"/>
          <w:szCs w:val="32"/>
        </w:rPr>
      </w:pPr>
      <w:r>
        <w:rPr>
          <w:rFonts w:hint="eastAsia" w:ascii="Times New Roman" w:hAnsi="Times New Roman" w:eastAsia="仿宋_GB2312"/>
          <w:sz w:val="32"/>
          <w:szCs w:val="32"/>
        </w:rPr>
        <w:br w:type="page"/>
      </w:r>
    </w:p>
    <w:p w14:paraId="5DA69959">
      <w:pPr>
        <w:pStyle w:val="5"/>
        <w:keepNext w:val="0"/>
        <w:keepLines w:val="0"/>
        <w:pageBreakBefore w:val="0"/>
        <w:widowControl w:val="0"/>
        <w:kinsoku/>
        <w:wordWrap/>
        <w:overflowPunct w:val="0"/>
        <w:topLinePunct w:val="0"/>
        <w:autoSpaceDE/>
        <w:autoSpaceDN/>
        <w:bidi w:val="0"/>
        <w:adjustRightInd/>
        <w:snapToGrid/>
        <w:spacing w:line="590" w:lineRule="exact"/>
        <w:ind w:left="0" w:leftChars="0" w:right="0" w:rightChars="0" w:firstLine="0" w:firstLineChars="0"/>
        <w:jc w:val="both"/>
        <w:textAlignment w:val="auto"/>
        <w:rPr>
          <w:rFonts w:hint="eastAsia" w:ascii="Times New Roman" w:hAnsi="Times New Roman" w:eastAsia="黑体"/>
          <w:sz w:val="32"/>
          <w:szCs w:val="32"/>
        </w:rPr>
      </w:pPr>
      <w:r>
        <w:rPr>
          <w:rFonts w:hint="eastAsia" w:ascii="Times New Roman" w:hAnsi="Times New Roman" w:eastAsia="黑体"/>
          <w:sz w:val="32"/>
          <w:szCs w:val="32"/>
        </w:rPr>
        <w:t>附件2</w:t>
      </w:r>
    </w:p>
    <w:p w14:paraId="208C3671">
      <w:pPr>
        <w:keepNext w:val="0"/>
        <w:keepLines w:val="0"/>
        <w:pageBreakBefore w:val="0"/>
        <w:widowControl w:val="0"/>
        <w:kinsoku/>
        <w:wordWrap/>
        <w:overflowPunct w:val="0"/>
        <w:topLinePunct/>
        <w:autoSpaceDE/>
        <w:autoSpaceDN/>
        <w:bidi w:val="0"/>
        <w:adjustRightInd w:val="0"/>
        <w:snapToGrid w:val="0"/>
        <w:spacing w:line="600" w:lineRule="exact"/>
        <w:jc w:val="center"/>
        <w:textAlignment w:val="auto"/>
        <w:outlineLvl w:val="0"/>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新能源城市公交车车辆更新明细表</w:t>
      </w:r>
    </w:p>
    <w:p w14:paraId="5BB0AA6D">
      <w:pPr>
        <w:pStyle w:val="5"/>
        <w:keepNext w:val="0"/>
        <w:keepLines w:val="0"/>
        <w:pageBreakBefore w:val="0"/>
        <w:widowControl w:val="0"/>
        <w:kinsoku/>
        <w:wordWrap/>
        <w:overflowPunct w:val="0"/>
        <w:topLinePunct w:val="0"/>
        <w:autoSpaceDE/>
        <w:autoSpaceDN/>
        <w:bidi w:val="0"/>
        <w:adjustRightInd/>
        <w:snapToGrid/>
        <w:spacing w:line="240" w:lineRule="auto"/>
        <w:textAlignment w:val="auto"/>
        <w:rPr>
          <w:rFonts w:hint="eastAsia" w:ascii="Times New Roman" w:hAnsi="Times New Roman" w:eastAsia="仿宋_GB2312"/>
          <w:sz w:val="32"/>
          <w:szCs w:val="32"/>
        </w:rPr>
      </w:pPr>
    </w:p>
    <w:p w14:paraId="1652EED8">
      <w:pPr>
        <w:pStyle w:val="5"/>
        <w:keepNext w:val="0"/>
        <w:keepLines w:val="0"/>
        <w:pageBreakBefore w:val="0"/>
        <w:widowControl w:val="0"/>
        <w:kinsoku/>
        <w:wordWrap/>
        <w:overflowPunct w:val="0"/>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填报企业（公章）：　　　　　　　　　　　　　　　　　　</w:t>
      </w:r>
      <w:r>
        <w:rPr>
          <w:rFonts w:hint="eastAsia" w:asciiTheme="minorEastAsia" w:hAnsiTheme="minorEastAsia" w:cstheme="minorEastAsia"/>
          <w:sz w:val="22"/>
          <w:szCs w:val="22"/>
          <w:lang w:eastAsia="zh-CN"/>
        </w:rPr>
        <w:t>　　　　　　　　　　　　　　　　　　　</w:t>
      </w:r>
      <w:r>
        <w:rPr>
          <w:rFonts w:hint="eastAsia" w:asciiTheme="minorEastAsia" w:hAnsiTheme="minorEastAsia" w:eastAsiaTheme="minorEastAsia" w:cstheme="minorEastAsia"/>
          <w:sz w:val="22"/>
          <w:szCs w:val="22"/>
        </w:rPr>
        <w:t>　　　填报日期：　　　年　　月　　日</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7"/>
        <w:gridCol w:w="1391"/>
        <w:gridCol w:w="567"/>
        <w:gridCol w:w="567"/>
        <w:gridCol w:w="567"/>
        <w:gridCol w:w="567"/>
        <w:gridCol w:w="567"/>
        <w:gridCol w:w="737"/>
        <w:gridCol w:w="737"/>
        <w:gridCol w:w="567"/>
        <w:gridCol w:w="567"/>
        <w:gridCol w:w="567"/>
        <w:gridCol w:w="567"/>
        <w:gridCol w:w="567"/>
        <w:gridCol w:w="567"/>
        <w:gridCol w:w="737"/>
        <w:gridCol w:w="737"/>
        <w:gridCol w:w="737"/>
        <w:gridCol w:w="737"/>
        <w:gridCol w:w="567"/>
        <w:gridCol w:w="1077"/>
      </w:tblGrid>
      <w:tr w14:paraId="529E7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jc w:val="center"/>
        </w:trPr>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8F6C3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序号</w:t>
            </w:r>
          </w:p>
        </w:tc>
        <w:tc>
          <w:tcPr>
            <w:tcW w:w="73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54B021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报废车辆</w:t>
            </w:r>
          </w:p>
        </w:tc>
        <w:tc>
          <w:tcPr>
            <w:tcW w:w="7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3F3B8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新购车辆</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C87F5">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更新完成日期</w:t>
            </w:r>
          </w:p>
        </w:tc>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3450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申请补贴金额（万元）</w:t>
            </w:r>
          </w:p>
        </w:tc>
      </w:tr>
      <w:tr w14:paraId="2490F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4" w:hRule="atLeast"/>
          <w:jc w:val="center"/>
        </w:trPr>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2773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A80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车牌号码</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65F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生产厂家</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1B6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车辆品牌</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62E6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车辆型号</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3A5A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动力类型</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511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车辆识别代号</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455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车长（毫米）</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EA0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机动车注册登记日期</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D85F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车牌号码</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8A6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生产厂家</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069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车辆品牌</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722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车辆型号</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6662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动力类型</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066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车辆识别代号</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77B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车长（毫米）</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3B0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机动车注册登记日期</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A4A0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是否低地板低入口车辆</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18F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购置价格（万元）</w:t>
            </w: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0F3A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A11D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17F30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0EF5">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1</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57F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1BA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E26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63B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266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410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E91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036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516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8F9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569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0F89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CFD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882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0FAA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C0E5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559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050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9E8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3099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57B67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9527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2</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A79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BBB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999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0EE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02D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BA47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3C9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C061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277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91B0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6D2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B35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33C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2EB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234E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984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4D1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961C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F76C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8B8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60D8B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B85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3</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D92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387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6C0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F3A5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886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7AB7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931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20A5">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569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F90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4A72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29D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BFB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7C3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0DA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3E1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18D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4004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C884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FC9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34948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D3F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4</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E22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9F2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5E8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06C0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F8F5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7D6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F6A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F4C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790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FB4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E15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D1B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C78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FF14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71D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35A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489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AFF8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462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01F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1A91A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2BB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5</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9A0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A51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B1B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818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82F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E3A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89C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1AC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FBCC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841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0AC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907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494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9A6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B36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F70C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1A63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540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F2F0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14F5">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0D986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1"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1D6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6</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D3E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2F1C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065A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840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4DF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72F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85B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CFE5">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29B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5E4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37DC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51DE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922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97B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3AA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86DF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739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D42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8C78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DFF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3AEB1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B18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246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B71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0DA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86E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985B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D01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283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AF45">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97E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7F5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ADD2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9180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84F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F0D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C46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371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A6B5">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B5C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698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AF4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23100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jc w:val="center"/>
        </w:trPr>
        <w:tc>
          <w:tcPr>
            <w:tcW w:w="737"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9B80C5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合计</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63D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bl>
    <w:p w14:paraId="46B58FBE">
      <w:pPr>
        <w:pStyle w:val="5"/>
        <w:keepNext w:val="0"/>
        <w:keepLines w:val="0"/>
        <w:pageBreakBefore w:val="0"/>
        <w:widowControl w:val="0"/>
        <w:kinsoku/>
        <w:wordWrap/>
        <w:overflowPunct w:val="0"/>
        <w:topLinePunct w:val="0"/>
        <w:autoSpaceDE/>
        <w:autoSpaceDN/>
        <w:bidi w:val="0"/>
        <w:adjustRightInd/>
        <w:snapToGrid/>
        <w:spacing w:before="0" w:beforeLines="50" w:after="0" w:afterLines="50" w:line="360" w:lineRule="exact"/>
        <w:ind w:firstLine="400" w:firstLineChars="200"/>
        <w:textAlignment w:val="auto"/>
        <w:rPr>
          <w:rFonts w:hint="eastAsia" w:ascii="Times New Roman" w:hAnsi="Times New Roman" w:eastAsia="仿宋_GB2312"/>
          <w:sz w:val="20"/>
          <w:szCs w:val="20"/>
        </w:rPr>
      </w:pPr>
      <w:r>
        <w:rPr>
          <w:rFonts w:hint="eastAsia" w:ascii="Times New Roman" w:hAnsi="Times New Roman" w:eastAsia="仿宋_GB2312"/>
          <w:sz w:val="20"/>
          <w:szCs w:val="20"/>
        </w:rPr>
        <w:t>负责人（签字）：　　　　　　　　　　　　　　　　　　经办人（签字）：　　　　　　　　　　　　　　　　　　联系电话：</w:t>
      </w:r>
    </w:p>
    <w:p w14:paraId="1DBAEEEC">
      <w:pPr>
        <w:pStyle w:val="5"/>
        <w:keepNext w:val="0"/>
        <w:keepLines w:val="0"/>
        <w:pageBreakBefore w:val="0"/>
        <w:widowControl w:val="0"/>
        <w:kinsoku/>
        <w:wordWrap/>
        <w:overflowPunct w:val="0"/>
        <w:topLinePunct w:val="0"/>
        <w:autoSpaceDE/>
        <w:autoSpaceDN/>
        <w:bidi w:val="0"/>
        <w:adjustRightInd/>
        <w:snapToGrid/>
        <w:spacing w:line="360" w:lineRule="exact"/>
        <w:ind w:left="1000" w:hanging="1000" w:hangingChars="500"/>
        <w:textAlignment w:val="auto"/>
        <w:rPr>
          <w:rFonts w:hint="eastAsia" w:ascii="Times New Roman" w:hAnsi="Times New Roman" w:eastAsia="仿宋_GB2312"/>
          <w:sz w:val="20"/>
          <w:szCs w:val="20"/>
        </w:rPr>
      </w:pPr>
      <w:r>
        <w:rPr>
          <w:rFonts w:hint="eastAsia" w:ascii="Times New Roman" w:hAnsi="Times New Roman" w:eastAsia="仿宋_GB2312"/>
          <w:sz w:val="20"/>
          <w:szCs w:val="20"/>
        </w:rPr>
        <w:t>填表说明：1.“填报企业”：与营业执照企业名称保持一致。2.报废车辆“动力类型”选填：纯电动、插电式混合动力、非插电式混合动力、燃料电池、超级电容、汽油、柴油、天然气、LPG、双燃料、其它。3.新购车辆“动力类型”选填：纯电动、插电式混合动力、燃料电池。4.“机动车注册登记日期”指机动车首次注册登记日期，见《机动车登记证书》“3.登记日期”。日期按“2026-01-01”格式填写。5.此表栏目不允许增减。</w:t>
      </w:r>
    </w:p>
    <w:p w14:paraId="18C48304">
      <w:pPr>
        <w:rPr>
          <w:rFonts w:hint="eastAsia" w:ascii="Times New Roman" w:hAnsi="Times New Roman" w:eastAsia="仿宋_GB2312"/>
          <w:sz w:val="32"/>
          <w:szCs w:val="32"/>
        </w:rPr>
      </w:pPr>
      <w:r>
        <w:rPr>
          <w:rFonts w:hint="eastAsia" w:ascii="Times New Roman" w:hAnsi="Times New Roman" w:eastAsia="仿宋_GB2312"/>
          <w:sz w:val="32"/>
          <w:szCs w:val="32"/>
        </w:rPr>
        <w:br w:type="page"/>
      </w:r>
    </w:p>
    <w:p w14:paraId="11DD310B">
      <w:pPr>
        <w:pStyle w:val="5"/>
        <w:keepNext w:val="0"/>
        <w:keepLines w:val="0"/>
        <w:pageBreakBefore w:val="0"/>
        <w:widowControl w:val="0"/>
        <w:kinsoku/>
        <w:wordWrap/>
        <w:overflowPunct w:val="0"/>
        <w:topLinePunct w:val="0"/>
        <w:autoSpaceDE/>
        <w:autoSpaceDN/>
        <w:bidi w:val="0"/>
        <w:adjustRightInd/>
        <w:snapToGrid/>
        <w:spacing w:line="590" w:lineRule="exact"/>
        <w:ind w:left="0" w:leftChars="0" w:right="0" w:rightChars="0" w:firstLine="0" w:firstLineChars="0"/>
        <w:jc w:val="both"/>
        <w:textAlignment w:val="auto"/>
        <w:rPr>
          <w:rFonts w:hint="eastAsia" w:ascii="Times New Roman" w:hAnsi="Times New Roman" w:eastAsia="黑体"/>
          <w:sz w:val="32"/>
          <w:szCs w:val="32"/>
        </w:rPr>
      </w:pPr>
      <w:r>
        <w:rPr>
          <w:rFonts w:hint="eastAsia" w:ascii="Times New Roman" w:hAnsi="Times New Roman" w:eastAsia="黑体"/>
          <w:sz w:val="32"/>
          <w:szCs w:val="32"/>
        </w:rPr>
        <w:t>附件3</w:t>
      </w:r>
    </w:p>
    <w:p w14:paraId="2DDCD7C7">
      <w:pPr>
        <w:keepNext w:val="0"/>
        <w:keepLines w:val="0"/>
        <w:pageBreakBefore w:val="0"/>
        <w:widowControl w:val="0"/>
        <w:kinsoku/>
        <w:wordWrap/>
        <w:overflowPunct w:val="0"/>
        <w:topLinePunct/>
        <w:autoSpaceDE/>
        <w:autoSpaceDN/>
        <w:bidi w:val="0"/>
        <w:adjustRightInd w:val="0"/>
        <w:snapToGrid w:val="0"/>
        <w:spacing w:line="600" w:lineRule="exact"/>
        <w:jc w:val="center"/>
        <w:textAlignment w:val="auto"/>
        <w:outlineLvl w:val="0"/>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新能源城市公交车动力电池更换明细表</w:t>
      </w:r>
    </w:p>
    <w:p w14:paraId="0EA98865">
      <w:pPr>
        <w:pStyle w:val="5"/>
        <w:keepNext w:val="0"/>
        <w:keepLines w:val="0"/>
        <w:pageBreakBefore w:val="0"/>
        <w:widowControl w:val="0"/>
        <w:kinsoku/>
        <w:wordWrap/>
        <w:overflowPunct w:val="0"/>
        <w:topLinePunct w:val="0"/>
        <w:autoSpaceDE/>
        <w:autoSpaceDN/>
        <w:bidi w:val="0"/>
        <w:adjustRightInd/>
        <w:snapToGrid/>
        <w:spacing w:line="240" w:lineRule="auto"/>
        <w:textAlignment w:val="auto"/>
        <w:rPr>
          <w:rFonts w:hint="eastAsia" w:ascii="Times New Roman" w:hAnsi="Times New Roman" w:eastAsia="仿宋_GB2312"/>
          <w:sz w:val="28"/>
          <w:szCs w:val="28"/>
        </w:rPr>
      </w:pPr>
    </w:p>
    <w:p w14:paraId="78EDB8FB">
      <w:pPr>
        <w:pStyle w:val="5"/>
        <w:keepNext w:val="0"/>
        <w:keepLines w:val="0"/>
        <w:pageBreakBefore w:val="0"/>
        <w:widowControl w:val="0"/>
        <w:kinsoku/>
        <w:wordWrap/>
        <w:overflowPunct w:val="0"/>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填报企业（公章）：　　　　　　　　　　　　</w:t>
      </w:r>
      <w:r>
        <w:rPr>
          <w:rFonts w:hint="eastAsia" w:asciiTheme="minorEastAsia" w:hAnsiTheme="minorEastAsia" w:cstheme="minorEastAsia"/>
          <w:sz w:val="22"/>
          <w:szCs w:val="22"/>
          <w:lang w:eastAsia="zh-CN"/>
        </w:rPr>
        <w:t>　　　　　　　　　　　　　　　　　　　　　　　</w:t>
      </w:r>
      <w:r>
        <w:rPr>
          <w:rFonts w:hint="eastAsia" w:asciiTheme="minorEastAsia" w:hAnsiTheme="minorEastAsia" w:eastAsiaTheme="minorEastAsia" w:cstheme="minorEastAsia"/>
          <w:sz w:val="22"/>
          <w:szCs w:val="22"/>
        </w:rPr>
        <w:t>　　　　　填报日期：　　　年　　月　　日</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4"/>
        <w:gridCol w:w="680"/>
        <w:gridCol w:w="680"/>
        <w:gridCol w:w="680"/>
        <w:gridCol w:w="680"/>
        <w:gridCol w:w="680"/>
        <w:gridCol w:w="680"/>
        <w:gridCol w:w="680"/>
        <w:gridCol w:w="709"/>
        <w:gridCol w:w="709"/>
        <w:gridCol w:w="850"/>
        <w:gridCol w:w="709"/>
        <w:gridCol w:w="794"/>
        <w:gridCol w:w="709"/>
        <w:gridCol w:w="709"/>
        <w:gridCol w:w="850"/>
        <w:gridCol w:w="709"/>
        <w:gridCol w:w="850"/>
        <w:gridCol w:w="907"/>
        <w:gridCol w:w="709"/>
        <w:gridCol w:w="907"/>
      </w:tblGrid>
      <w:tr w14:paraId="650E9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4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A05E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序号</w:t>
            </w:r>
          </w:p>
        </w:tc>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40DDF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车牌号码</w:t>
            </w:r>
          </w:p>
        </w:tc>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E120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生产厂家</w:t>
            </w:r>
          </w:p>
        </w:tc>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8873A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车辆品牌</w:t>
            </w:r>
          </w:p>
        </w:tc>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127C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车辆型号</w:t>
            </w:r>
          </w:p>
        </w:tc>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16CB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动力类型</w:t>
            </w:r>
          </w:p>
        </w:tc>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257BD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车辆识别代号</w:t>
            </w:r>
          </w:p>
        </w:tc>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31DBB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车长（毫米）</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532AD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机动车注册登记日期</w:t>
            </w:r>
          </w:p>
        </w:tc>
        <w:tc>
          <w:tcPr>
            <w:tcW w:w="7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E6FB7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旧动力电池</w:t>
            </w:r>
          </w:p>
        </w:tc>
        <w:tc>
          <w:tcPr>
            <w:tcW w:w="9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7E690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新动力电池</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3F60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更换完成日期</w:t>
            </w: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00DD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申请补贴金额</w:t>
            </w:r>
            <w:r>
              <w:rPr>
                <w:rFonts w:hint="eastAsia" w:asciiTheme="minorEastAsia" w:hAnsiTheme="minorEastAsia" w:cstheme="minorEastAsia"/>
                <w:i w:val="0"/>
                <w:iCs w:val="0"/>
                <w:color w:val="auto"/>
                <w:kern w:val="0"/>
                <w:sz w:val="22"/>
                <w:szCs w:val="22"/>
                <w:u w:val="none"/>
                <w:lang w:val="en-US" w:eastAsia="zh-CN" w:bidi="ar"/>
              </w:rPr>
              <w:t>(</w:t>
            </w:r>
            <w:r>
              <w:rPr>
                <w:rFonts w:hint="eastAsia" w:asciiTheme="minorEastAsia" w:hAnsiTheme="minorEastAsia" w:eastAsiaTheme="minorEastAsia" w:cstheme="minorEastAsia"/>
                <w:i w:val="0"/>
                <w:iCs w:val="0"/>
                <w:color w:val="auto"/>
                <w:kern w:val="0"/>
                <w:sz w:val="22"/>
                <w:szCs w:val="22"/>
                <w:u w:val="none"/>
                <w:lang w:val="en-US" w:eastAsia="zh-CN" w:bidi="ar"/>
              </w:rPr>
              <w:t>万元</w:t>
            </w:r>
            <w:r>
              <w:rPr>
                <w:rFonts w:hint="eastAsia" w:asciiTheme="minorEastAsia" w:hAnsiTheme="minorEastAsia" w:cstheme="minorEastAsia"/>
                <w:i w:val="0"/>
                <w:iCs w:val="0"/>
                <w:color w:val="auto"/>
                <w:kern w:val="0"/>
                <w:sz w:val="22"/>
                <w:szCs w:val="22"/>
                <w:u w:val="none"/>
                <w:lang w:val="en-US" w:eastAsia="zh-CN" w:bidi="ar"/>
              </w:rPr>
              <w:t>)</w:t>
            </w:r>
          </w:p>
        </w:tc>
      </w:tr>
      <w:tr w14:paraId="0CBFA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7776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B7BA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A1BA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18EC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4984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D1FE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3A44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2A68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8380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927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动力电池种类</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029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动力电池容量</w:t>
            </w:r>
            <w:r>
              <w:rPr>
                <w:rFonts w:hint="eastAsia" w:asciiTheme="minorEastAsia" w:hAnsiTheme="minorEastAsia" w:cstheme="minorEastAsia"/>
                <w:i w:val="0"/>
                <w:iCs w:val="0"/>
                <w:color w:val="auto"/>
                <w:kern w:val="0"/>
                <w:sz w:val="22"/>
                <w:szCs w:val="22"/>
                <w:u w:val="none"/>
                <w:lang w:val="en-US" w:eastAsia="zh-CN" w:bidi="ar"/>
              </w:rPr>
              <w:t>(</w:t>
            </w:r>
            <w:r>
              <w:rPr>
                <w:rFonts w:hint="eastAsia" w:asciiTheme="minorEastAsia" w:hAnsiTheme="minorEastAsia" w:eastAsiaTheme="minorEastAsia" w:cstheme="minorEastAsia"/>
                <w:i w:val="0"/>
                <w:iCs w:val="0"/>
                <w:color w:val="auto"/>
                <w:kern w:val="0"/>
                <w:sz w:val="22"/>
                <w:szCs w:val="22"/>
                <w:u w:val="none"/>
                <w:lang w:val="en-US" w:eastAsia="zh-CN" w:bidi="ar"/>
              </w:rPr>
              <w:t>kWh</w:t>
            </w:r>
            <w:r>
              <w:rPr>
                <w:rFonts w:hint="eastAsia" w:asciiTheme="minorEastAsia" w:hAnsiTheme="minorEastAsia" w:cstheme="minorEastAsia"/>
                <w:i w:val="0"/>
                <w:iCs w:val="0"/>
                <w:color w:val="auto"/>
                <w:kern w:val="0"/>
                <w:sz w:val="22"/>
                <w:szCs w:val="22"/>
                <w:u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94F5">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电池包数量</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BB4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已使用年限</w:t>
            </w:r>
            <w:r>
              <w:rPr>
                <w:rFonts w:hint="eastAsia" w:asciiTheme="minorEastAsia" w:hAnsiTheme="minorEastAsia" w:cstheme="minorEastAsia"/>
                <w:i w:val="0"/>
                <w:iCs w:val="0"/>
                <w:color w:val="auto"/>
                <w:kern w:val="0"/>
                <w:sz w:val="22"/>
                <w:szCs w:val="22"/>
                <w:u w:val="none"/>
                <w:lang w:val="en-US" w:eastAsia="zh-CN" w:bidi="ar"/>
              </w:rPr>
              <w:t>(</w:t>
            </w:r>
            <w:r>
              <w:rPr>
                <w:rFonts w:hint="eastAsia" w:asciiTheme="minorEastAsia" w:hAnsiTheme="minorEastAsia" w:eastAsiaTheme="minorEastAsia" w:cstheme="minorEastAsia"/>
                <w:i w:val="0"/>
                <w:iCs w:val="0"/>
                <w:color w:val="auto"/>
                <w:kern w:val="0"/>
                <w:sz w:val="22"/>
                <w:szCs w:val="22"/>
                <w:u w:val="none"/>
                <w:lang w:val="en-US" w:eastAsia="zh-CN" w:bidi="ar"/>
              </w:rPr>
              <w:t>年</w:t>
            </w:r>
            <w:r>
              <w:rPr>
                <w:rFonts w:hint="eastAsia" w:asciiTheme="minorEastAsia" w:hAnsiTheme="minorEastAsia" w:cstheme="minorEastAsia"/>
                <w:i w:val="0"/>
                <w:iCs w:val="0"/>
                <w:color w:val="auto"/>
                <w:kern w:val="0"/>
                <w:sz w:val="22"/>
                <w:szCs w:val="22"/>
                <w:u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CA6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生产日期</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D30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动力电池种类</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41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动力电池容量</w:t>
            </w:r>
            <w:r>
              <w:rPr>
                <w:rFonts w:hint="eastAsia" w:asciiTheme="minorEastAsia" w:hAnsiTheme="minorEastAsia" w:cstheme="minorEastAsia"/>
                <w:i w:val="0"/>
                <w:iCs w:val="0"/>
                <w:color w:val="auto"/>
                <w:kern w:val="0"/>
                <w:sz w:val="22"/>
                <w:szCs w:val="22"/>
                <w:u w:val="none"/>
                <w:lang w:val="en-US" w:eastAsia="zh-CN" w:bidi="ar"/>
              </w:rPr>
              <w:t>(</w:t>
            </w:r>
            <w:r>
              <w:rPr>
                <w:rFonts w:hint="eastAsia" w:asciiTheme="minorEastAsia" w:hAnsiTheme="minorEastAsia" w:eastAsiaTheme="minorEastAsia" w:cstheme="minorEastAsia"/>
                <w:i w:val="0"/>
                <w:iCs w:val="0"/>
                <w:color w:val="auto"/>
                <w:kern w:val="0"/>
                <w:sz w:val="22"/>
                <w:szCs w:val="22"/>
                <w:u w:val="none"/>
                <w:lang w:val="en-US" w:eastAsia="zh-CN" w:bidi="ar"/>
              </w:rPr>
              <w:t>kWh</w:t>
            </w:r>
            <w:r>
              <w:rPr>
                <w:rFonts w:hint="eastAsia" w:asciiTheme="minorEastAsia" w:hAnsiTheme="minorEastAsia" w:cstheme="minorEastAsia"/>
                <w:i w:val="0"/>
                <w:iCs w:val="0"/>
                <w:color w:val="auto"/>
                <w:kern w:val="0"/>
                <w:sz w:val="22"/>
                <w:szCs w:val="22"/>
                <w:u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468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电池包数量</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5F4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质保期（年）</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5E185">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购置</w:t>
            </w:r>
          </w:p>
          <w:p w14:paraId="4B8229C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default"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价格</w:t>
            </w:r>
            <w:r>
              <w:rPr>
                <w:rFonts w:hint="eastAsia" w:asciiTheme="minorEastAsia" w:hAnsiTheme="minorEastAsia" w:cstheme="minorEastAsia"/>
                <w:i w:val="0"/>
                <w:iCs w:val="0"/>
                <w:color w:val="auto"/>
                <w:kern w:val="0"/>
                <w:sz w:val="22"/>
                <w:szCs w:val="22"/>
                <w:u w:val="none"/>
                <w:lang w:val="en-US" w:eastAsia="zh-CN" w:bidi="ar"/>
              </w:rPr>
              <w:t>(</w:t>
            </w:r>
            <w:r>
              <w:rPr>
                <w:rFonts w:hint="eastAsia" w:asciiTheme="minorEastAsia" w:hAnsiTheme="minorEastAsia" w:eastAsiaTheme="minorEastAsia" w:cstheme="minorEastAsia"/>
                <w:i w:val="0"/>
                <w:iCs w:val="0"/>
                <w:color w:val="auto"/>
                <w:kern w:val="0"/>
                <w:sz w:val="22"/>
                <w:szCs w:val="22"/>
                <w:u w:val="none"/>
                <w:lang w:val="en-US" w:eastAsia="zh-CN" w:bidi="ar"/>
              </w:rPr>
              <w:t>万元</w:t>
            </w:r>
            <w:r>
              <w:rPr>
                <w:rFonts w:hint="eastAsia" w:asciiTheme="minorEastAsia" w:hAnsiTheme="minorEastAsia" w:cstheme="minorEastAsia"/>
                <w:i w:val="0"/>
                <w:iCs w:val="0"/>
                <w:color w:val="auto"/>
                <w:kern w:val="0"/>
                <w:sz w:val="22"/>
                <w:szCs w:val="22"/>
                <w:u w:val="none"/>
                <w:lang w:val="en-US" w:eastAsia="zh-CN" w:bidi="ar"/>
              </w:rPr>
              <w:t>)</w:t>
            </w: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F0F1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53B3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6E6D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EB9A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1</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5AA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D95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668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DAA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975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BB2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EBB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D75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DE9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504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nil"/>
              <w:left w:val="nil"/>
              <w:bottom w:val="nil"/>
              <w:right w:val="nil"/>
            </w:tcBorders>
            <w:shd w:val="clear" w:color="auto" w:fill="auto"/>
            <w:noWrap/>
            <w:vAlign w:val="center"/>
          </w:tcPr>
          <w:p w14:paraId="542770C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3F4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4A6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1EC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F86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B85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651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AA8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4B0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5245">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6C8CD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9B4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2</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3C5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C3C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9FAD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C02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015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025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33E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B4D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A51E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535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0E6E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FAD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nil"/>
              <w:left w:val="nil"/>
              <w:bottom w:val="nil"/>
              <w:right w:val="nil"/>
            </w:tcBorders>
            <w:shd w:val="clear" w:color="auto" w:fill="auto"/>
            <w:noWrap/>
            <w:vAlign w:val="center"/>
          </w:tcPr>
          <w:p w14:paraId="69D3087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22AF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33D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5A9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B8E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90E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570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9CD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4B239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8F05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3</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EF9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779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0D0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D09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2F1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52E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CAE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7EB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355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B08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5EF2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B8D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7F50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A43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4DA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E41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A934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24D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FB3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834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304E7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154C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4</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2A1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CA3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1383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42F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B92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846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1A3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00D6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8CB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8A1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B121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0FE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BFC0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51B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708F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80D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6C4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E23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992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CBD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4EE63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568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5</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2A3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2998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C32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E90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F53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5EE7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270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80C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A8A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F2B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E455">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E48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085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9CF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04E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8D3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55D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03C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67D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A4D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7AE33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71D1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6</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E9689">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802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D9C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9F0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8CD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D8A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0D1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57C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669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882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FC5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F92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A5F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217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25E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3E7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4D4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95F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704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DE2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58BBA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329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679A2">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18E3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79F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31FCD">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180E">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DF16">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03E3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05CA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078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066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845F8">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24FB">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6F80">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9D03">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639A">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842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A73F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73C1">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A9D4">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03BC">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r w14:paraId="2D677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680"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3772FE7">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合计</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052EF">
            <w:pPr>
              <w:keepNext w:val="0"/>
              <w:keepLines w:val="0"/>
              <w:pageBreakBefore w:val="0"/>
              <w:widowControl w:val="0"/>
              <w:suppressLineNumbers w:val="0"/>
              <w:kinsoku/>
              <w:wordWrap/>
              <w:overflowPunct w:val="0"/>
              <w:topLinePunct w:val="0"/>
              <w:autoSpaceDE/>
              <w:autoSpaceDN/>
              <w:bidi w:val="0"/>
              <w:adjustRightInd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p>
        </w:tc>
      </w:tr>
    </w:tbl>
    <w:p w14:paraId="2FBA0B1F">
      <w:pPr>
        <w:pStyle w:val="5"/>
        <w:keepNext w:val="0"/>
        <w:keepLines w:val="0"/>
        <w:pageBreakBefore w:val="0"/>
        <w:widowControl w:val="0"/>
        <w:kinsoku/>
        <w:wordWrap/>
        <w:overflowPunct w:val="0"/>
        <w:topLinePunct w:val="0"/>
        <w:autoSpaceDE/>
        <w:autoSpaceDN/>
        <w:bidi w:val="0"/>
        <w:adjustRightInd/>
        <w:snapToGrid/>
        <w:spacing w:before="0" w:beforeLines="50" w:after="0" w:afterLines="50" w:line="360" w:lineRule="exact"/>
        <w:ind w:firstLine="440" w:firstLineChars="200"/>
        <w:textAlignment w:val="auto"/>
        <w:rPr>
          <w:rFonts w:hint="eastAsia" w:ascii="Times New Roman" w:hAnsi="Times New Roman" w:eastAsia="仿宋_GB2312"/>
          <w:sz w:val="22"/>
          <w:szCs w:val="22"/>
        </w:rPr>
      </w:pPr>
      <w:r>
        <w:rPr>
          <w:rFonts w:hint="eastAsia" w:ascii="Times New Roman" w:hAnsi="Times New Roman" w:eastAsia="仿宋_GB2312"/>
          <w:sz w:val="22"/>
          <w:szCs w:val="22"/>
        </w:rPr>
        <w:t>负责人（签字）：　　　　　　　　　　　　　　　　　　经办人（签字）：　　　　　　　　　　　　　　　　　　联系电话：</w:t>
      </w:r>
    </w:p>
    <w:p w14:paraId="2C9EF5A6">
      <w:pPr>
        <w:pStyle w:val="5"/>
        <w:keepNext w:val="0"/>
        <w:keepLines w:val="0"/>
        <w:pageBreakBefore w:val="0"/>
        <w:widowControl w:val="0"/>
        <w:kinsoku/>
        <w:wordWrap/>
        <w:overflowPunct w:val="0"/>
        <w:topLinePunct w:val="0"/>
        <w:autoSpaceDE/>
        <w:autoSpaceDN/>
        <w:bidi w:val="0"/>
        <w:adjustRightInd/>
        <w:snapToGrid/>
        <w:spacing w:line="360" w:lineRule="exact"/>
        <w:ind w:left="1100" w:hanging="1100" w:hangingChars="500"/>
        <w:textAlignment w:val="auto"/>
        <w:rPr>
          <w:rFonts w:hint="eastAsia" w:ascii="Times New Roman" w:hAnsi="Times New Roman" w:eastAsia="仿宋_GB2312"/>
          <w:sz w:val="32"/>
          <w:szCs w:val="32"/>
        </w:rPr>
      </w:pPr>
      <w:r>
        <w:rPr>
          <w:rFonts w:hint="eastAsia" w:ascii="Times New Roman" w:hAnsi="Times New Roman" w:eastAsia="仿宋_GB2312"/>
          <w:sz w:val="22"/>
          <w:szCs w:val="22"/>
        </w:rPr>
        <w:t>填表说明：1.“填报企业”：与营业执照企业名称保持一致。2.“动力类型”选填：纯电动、插电式混合动力、燃料电池。3.“动力电池种类”主要分为四类：磷酸铁锂、钛酸锂、锰酸锂、其它。4.“机动车注册登记日期”指机动车首次注册登记日期，见《机动车登记证书》“3.登记日期”。日期按“2026-01-01”格式填写。5.此表栏目不允许增减。</w:t>
      </w:r>
    </w:p>
    <w:p w14:paraId="20C78457">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sectPr>
          <w:footerReference r:id="rId5" w:type="default"/>
          <w:pgSz w:w="16838" w:h="11905" w:orient="landscape"/>
          <w:pgMar w:top="1531" w:right="1417" w:bottom="1531" w:left="1417" w:header="720" w:footer="1417" w:gutter="0"/>
          <w:pgNumType w:fmt="decimal"/>
          <w:cols w:space="0" w:num="1"/>
          <w:rtlGutter w:val="0"/>
          <w:docGrid w:linePitch="0" w:charSpace="0"/>
        </w:sectPr>
      </w:pPr>
    </w:p>
    <w:p w14:paraId="603EDE9E">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2FE05758">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6654CCC2">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02F9194E">
      <w:pPr>
        <w:rPr>
          <w:rFonts w:hint="eastAsia" w:ascii="Times New Roman" w:hAnsi="Times New Roman" w:eastAsia="仿宋_GB2312"/>
          <w:sz w:val="32"/>
          <w:szCs w:val="32"/>
        </w:rPr>
      </w:pPr>
      <w:r>
        <w:rPr>
          <w:rFonts w:hint="eastAsia" w:ascii="Times New Roman" w:hAnsi="Times New Roman" w:eastAsia="仿宋_GB2312"/>
          <w:sz w:val="32"/>
          <w:szCs w:val="32"/>
        </w:rPr>
        <w:br w:type="page"/>
      </w:r>
    </w:p>
    <w:p w14:paraId="3D9BB67C">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661341BB">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0345EC06">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7881269A">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5BC78C59">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6EE8840E">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15D8BF4A">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30165F99">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6B2F2382">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4A3C3A8A">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38F746E2">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01739E2B">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4276EDF1">
      <w:pPr>
        <w:pStyle w:val="5"/>
        <w:keepNext w:val="0"/>
        <w:keepLines w:val="0"/>
        <w:pageBreakBefore w:val="0"/>
        <w:widowControl w:val="0"/>
        <w:kinsoku/>
        <w:wordWrap/>
        <w:overflowPunct w:val="0"/>
        <w:topLinePunct w:val="0"/>
        <w:autoSpaceDE/>
        <w:autoSpaceDN/>
        <w:bidi w:val="0"/>
        <w:adjustRightInd/>
        <w:snapToGrid/>
        <w:spacing w:line="590" w:lineRule="exact"/>
        <w:textAlignment w:val="auto"/>
        <w:rPr>
          <w:rFonts w:hint="eastAsia" w:ascii="Times New Roman" w:hAnsi="Times New Roman" w:eastAsia="仿宋_GB2312"/>
          <w:sz w:val="32"/>
          <w:szCs w:val="32"/>
        </w:rPr>
      </w:pPr>
    </w:p>
    <w:p w14:paraId="05F04424">
      <w:pPr>
        <w:pStyle w:val="5"/>
        <w:keepNext w:val="0"/>
        <w:keepLines w:val="0"/>
        <w:pageBreakBefore w:val="0"/>
        <w:widowControl w:val="0"/>
        <w:kinsoku/>
        <w:wordWrap/>
        <w:overflowPunct w:val="0"/>
        <w:topLinePunct w:val="0"/>
        <w:autoSpaceDE/>
        <w:autoSpaceDN/>
        <w:bidi w:val="0"/>
        <w:adjustRightInd/>
        <w:snapToGrid/>
        <w:spacing w:after="0" w:afterLines="100" w:line="590" w:lineRule="exact"/>
        <w:textAlignment w:val="auto"/>
        <w:rPr>
          <w:rFonts w:hint="eastAsia" w:ascii="Times New Roman" w:hAnsi="Times New Roman" w:eastAsia="仿宋_GB2312"/>
          <w:sz w:val="32"/>
          <w:szCs w:val="32"/>
        </w:rPr>
      </w:pPr>
    </w:p>
    <w:p w14:paraId="2A4CFC7F">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21F06E99">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78C71DEC">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p w14:paraId="05B32B86">
      <w:pPr>
        <w:pStyle w:val="5"/>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Times New Roman" w:hAnsi="Times New Roman" w:eastAsia="仿宋_GB2312"/>
          <w:sz w:val="32"/>
          <w:szCs w:val="32"/>
        </w:rPr>
      </w:pPr>
    </w:p>
    <w:tbl>
      <w:tblPr>
        <w:tblStyle w:val="10"/>
        <w:tblW w:w="0" w:type="auto"/>
        <w:jc w:val="center"/>
        <w:tblBorders>
          <w:top w:val="none" w:color="auto" w:sz="0" w:space="0"/>
          <w:left w:val="none" w:color="auto" w:sz="0" w:space="0"/>
          <w:bottom w:val="single" w:color="auto" w:sz="8" w:space="0"/>
          <w:right w:val="none" w:color="auto" w:sz="0" w:space="0"/>
          <w:insideH w:val="single" w:color="auto" w:sz="8" w:space="0"/>
          <w:insideV w:val="none" w:color="auto" w:sz="0" w:space="0"/>
        </w:tblBorders>
        <w:tblLayout w:type="autofit"/>
        <w:tblCellMar>
          <w:top w:w="0" w:type="dxa"/>
          <w:left w:w="108" w:type="dxa"/>
          <w:bottom w:w="0" w:type="dxa"/>
          <w:right w:w="108" w:type="dxa"/>
        </w:tblCellMar>
      </w:tblPr>
      <w:tblGrid>
        <w:gridCol w:w="8844"/>
      </w:tblGrid>
      <w:tr w14:paraId="205AB55A">
        <w:tblPrEx>
          <w:tblBorders>
            <w:top w:val="none" w:color="auto" w:sz="0"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680" w:hRule="atLeast"/>
          <w:jc w:val="center"/>
        </w:trPr>
        <w:tc>
          <w:tcPr>
            <w:tcW w:w="8844" w:type="dxa"/>
            <w:tcBorders>
              <w:tl2br w:val="nil"/>
              <w:tr2bl w:val="nil"/>
            </w:tcBorders>
            <w:vAlign w:val="center"/>
          </w:tcPr>
          <w:p w14:paraId="169E6EF7">
            <w:pPr>
              <w:pStyle w:val="5"/>
              <w:keepNext w:val="0"/>
              <w:keepLines w:val="0"/>
              <w:pageBreakBefore w:val="0"/>
              <w:widowControl w:val="0"/>
              <w:kinsoku/>
              <w:wordWrap/>
              <w:overflowPunct w:val="0"/>
              <w:topLinePunct w:val="0"/>
              <w:autoSpaceDE/>
              <w:autoSpaceDN/>
              <w:bidi w:val="0"/>
              <w:adjustRightInd w:val="0"/>
              <w:snapToGrid w:val="0"/>
              <w:spacing w:line="240" w:lineRule="auto"/>
              <w:ind w:right="0" w:rightChars="0"/>
              <w:jc w:val="both"/>
              <w:textAlignment w:val="auto"/>
              <w:rPr>
                <w:rFonts w:hint="eastAsia" w:ascii="Times New Roman" w:hAnsi="Times New Roman" w:eastAsia="仿宋_GB2312"/>
                <w:sz w:val="28"/>
                <w:szCs w:val="28"/>
                <w:vertAlign w:val="baseline"/>
              </w:rPr>
            </w:pPr>
            <w:r>
              <w:rPr>
                <w:rFonts w:hint="eastAsia" w:ascii="黑体" w:hAnsi="黑体" w:eastAsia="黑体" w:cs="黑体"/>
                <w:sz w:val="28"/>
                <w:szCs w:val="28"/>
              </w:rPr>
              <w:t>信息公开属性</w:t>
            </w:r>
            <w:r>
              <w:rPr>
                <w:rFonts w:hint="eastAsia" w:ascii="Times New Roman" w:hAnsi="Times New Roman" w:eastAsia="仿宋_GB2312"/>
                <w:sz w:val="28"/>
                <w:szCs w:val="28"/>
              </w:rPr>
              <w:t>：</w:t>
            </w:r>
            <w:r>
              <w:rPr>
                <w:rFonts w:hint="eastAsia" w:ascii="Times New Roman" w:hAnsi="Times New Roman" w:eastAsia="方正小标宋简体"/>
                <w:sz w:val="28"/>
                <w:szCs w:val="28"/>
              </w:rPr>
              <w:t>主动公开</w:t>
            </w:r>
          </w:p>
        </w:tc>
      </w:tr>
      <w:tr w14:paraId="56462935">
        <w:tblPrEx>
          <w:tblBorders>
            <w:top w:val="none" w:color="auto" w:sz="0"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680" w:hRule="atLeast"/>
          <w:jc w:val="center"/>
        </w:trPr>
        <w:tc>
          <w:tcPr>
            <w:tcW w:w="8844" w:type="dxa"/>
            <w:tcBorders>
              <w:tl2br w:val="nil"/>
              <w:tr2bl w:val="nil"/>
            </w:tcBorders>
            <w:vAlign w:val="center"/>
          </w:tcPr>
          <w:p w14:paraId="0E69EF4C">
            <w:pPr>
              <w:pStyle w:val="5"/>
              <w:keepNext w:val="0"/>
              <w:keepLines w:val="0"/>
              <w:pageBreakBefore w:val="0"/>
              <w:widowControl w:val="0"/>
              <w:kinsoku/>
              <w:wordWrap/>
              <w:overflowPunct w:val="0"/>
              <w:topLinePunct w:val="0"/>
              <w:autoSpaceDE/>
              <w:autoSpaceDN/>
              <w:bidi w:val="0"/>
              <w:adjustRightInd w:val="0"/>
              <w:snapToGrid w:val="0"/>
              <w:spacing w:line="240" w:lineRule="auto"/>
              <w:ind w:left="210" w:leftChars="100" w:right="210" w:rightChars="100"/>
              <w:jc w:val="both"/>
              <w:textAlignment w:val="auto"/>
              <w:rPr>
                <w:rFonts w:hint="eastAsia" w:ascii="Times New Roman" w:hAnsi="Times New Roman" w:eastAsia="仿宋_GB2312"/>
                <w:sz w:val="28"/>
                <w:szCs w:val="28"/>
              </w:rPr>
            </w:pPr>
            <w:r>
              <w:rPr>
                <w:rFonts w:hint="eastAsia" w:ascii="Times New Roman" w:hAnsi="Times New Roman" w:eastAsia="楷体_GB2312"/>
                <w:sz w:val="28"/>
                <w:szCs w:val="28"/>
              </w:rPr>
              <w:t>抄送</w:t>
            </w:r>
            <w:r>
              <w:rPr>
                <w:rFonts w:hint="eastAsia" w:ascii="Times New Roman" w:hAnsi="Times New Roman" w:eastAsia="仿宋_GB2312"/>
                <w:sz w:val="28"/>
                <w:szCs w:val="28"/>
              </w:rPr>
              <w:t>：市财政局</w:t>
            </w:r>
          </w:p>
        </w:tc>
      </w:tr>
      <w:tr w14:paraId="2D549003">
        <w:tblPrEx>
          <w:tblBorders>
            <w:top w:val="none" w:color="auto" w:sz="0"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680" w:hRule="atLeast"/>
          <w:jc w:val="center"/>
        </w:trPr>
        <w:tc>
          <w:tcPr>
            <w:tcW w:w="8844" w:type="dxa"/>
            <w:tcBorders>
              <w:tl2br w:val="nil"/>
              <w:tr2bl w:val="nil"/>
            </w:tcBorders>
            <w:vAlign w:val="center"/>
          </w:tcPr>
          <w:p w14:paraId="5138CA71">
            <w:pPr>
              <w:pStyle w:val="5"/>
              <w:keepNext w:val="0"/>
              <w:keepLines w:val="0"/>
              <w:pageBreakBefore w:val="0"/>
              <w:widowControl w:val="0"/>
              <w:kinsoku/>
              <w:wordWrap/>
              <w:overflowPunct w:val="0"/>
              <w:topLinePunct w:val="0"/>
              <w:autoSpaceDE/>
              <w:autoSpaceDN/>
              <w:bidi w:val="0"/>
              <w:adjustRightInd w:val="0"/>
              <w:snapToGrid w:val="0"/>
              <w:spacing w:line="240" w:lineRule="auto"/>
              <w:ind w:left="210" w:leftChars="100" w:right="210" w:rightChars="100"/>
              <w:jc w:val="both"/>
              <w:textAlignment w:val="auto"/>
              <w:rPr>
                <w:rFonts w:hint="eastAsia" w:ascii="Times New Roman" w:hAnsi="Times New Roman" w:eastAsia="仿宋_GB2312"/>
                <w:sz w:val="28"/>
                <w:szCs w:val="28"/>
                <w:vertAlign w:val="baseline"/>
              </w:rPr>
            </w:pPr>
            <w:r>
              <w:rPr>
                <w:rFonts w:hint="eastAsia" w:ascii="Times New Roman" w:hAnsi="Times New Roman" w:eastAsia="仿宋_GB2312"/>
                <w:sz w:val="28"/>
                <w:szCs w:val="28"/>
              </w:rPr>
              <w:t>枣庄市交通运输局办公室　　　　　　　　　2026年</w:t>
            </w:r>
            <w:bookmarkStart w:id="0" w:name="_GoBack"/>
            <w:bookmarkEnd w:id="0"/>
            <w:r>
              <w:rPr>
                <w:rFonts w:hint="eastAsia" w:ascii="Times New Roman" w:hAnsi="Times New Roman" w:eastAsia="仿宋_GB2312"/>
                <w:sz w:val="28"/>
                <w:szCs w:val="28"/>
              </w:rPr>
              <w:t>6月12日印发</w:t>
            </w:r>
          </w:p>
        </w:tc>
      </w:tr>
    </w:tbl>
    <w:p w14:paraId="5FDF8072">
      <w:pPr>
        <w:pStyle w:val="5"/>
        <w:keepNext w:val="0"/>
        <w:keepLines w:val="0"/>
        <w:pageBreakBefore w:val="0"/>
        <w:widowControl w:val="0"/>
        <w:kinsoku/>
        <w:wordWrap/>
        <w:overflowPunct w:val="0"/>
        <w:topLinePunct w:val="0"/>
        <w:autoSpaceDE/>
        <w:autoSpaceDN/>
        <w:bidi w:val="0"/>
        <w:adjustRightInd/>
        <w:snapToGrid/>
        <w:spacing w:line="240" w:lineRule="auto"/>
        <w:textAlignment w:val="auto"/>
        <w:rPr>
          <w:rFonts w:hint="eastAsia" w:ascii="Times New Roman" w:hAnsi="Times New Roman" w:eastAsia="仿宋_GB2312"/>
          <w:sz w:val="10"/>
          <w:szCs w:val="10"/>
        </w:rPr>
      </w:pPr>
    </w:p>
    <w:sectPr>
      <w:footerReference r:id="rId6" w:type="default"/>
      <w:pgSz w:w="11905" w:h="16838"/>
      <w:pgMar w:top="1984" w:right="1531" w:bottom="1701" w:left="1531" w:header="720" w:footer="1417"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文泉驿微米黑">
    <w:altName w:val="黑体"/>
    <w:panose1 w:val="020B0606030804020204"/>
    <w:charset w:val="86"/>
    <w:family w:val="swiss"/>
    <w:pitch w:val="default"/>
    <w:sig w:usb0="00000000" w:usb1="00000000" w:usb2="00800036" w:usb3="00000000" w:csb0="603E019F" w:csb1="DFD7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D166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A2E288">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A2E288">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E0CCA">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E4280">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7E4280">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927D4">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707D">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836632"/>
    <w:rsid w:val="2E234CA1"/>
    <w:rsid w:val="3309013D"/>
    <w:rsid w:val="366B7360"/>
    <w:rsid w:val="41FB0B50"/>
    <w:rsid w:val="4DAF4F3C"/>
    <w:rsid w:val="65916852"/>
    <w:rsid w:val="659F422A"/>
    <w:rsid w:val="772446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Body Text First Indent 2"/>
    <w:basedOn w:val="4"/>
    <w:next w:val="1"/>
    <w:qFormat/>
    <w:uiPriority w:val="0"/>
    <w:pPr>
      <w:spacing w:before="100" w:beforeAutospacing="1" w:after="100" w:afterAutospacing="1" w:line="600" w:lineRule="exact"/>
      <w:ind w:left="0" w:leftChars="0" w:firstLine="880" w:firstLineChars="200"/>
    </w:pPr>
    <w:rPr>
      <w:rFonts w:eastAsia="仿宋_GB2312"/>
      <w:sz w:val="32"/>
      <w:szCs w:val="32"/>
    </w:rPr>
  </w:style>
  <w:style w:type="paragraph" w:styleId="4">
    <w:name w:val="Body Text Indent"/>
    <w:basedOn w:val="1"/>
    <w:next w:val="3"/>
    <w:qFormat/>
    <w:uiPriority w:val="0"/>
    <w:pPr>
      <w:spacing w:after="120"/>
      <w:ind w:left="420" w:leftChars="200"/>
    </w:pPr>
  </w:style>
  <w:style w:type="paragraph" w:styleId="5">
    <w:name w:val="Plain Text"/>
    <w:basedOn w:val="1"/>
    <w:qFormat/>
    <w:uiPriority w:val="0"/>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itle"/>
    <w:basedOn w:val="1"/>
    <w:qFormat/>
    <w:uiPriority w:val="1"/>
    <w:rPr>
      <w:rFonts w:ascii="文泉驿微米黑" w:hAnsi="文泉驿微米黑" w:eastAsia="文泉驿微米黑" w:cs="文泉驿微米黑"/>
      <w:sz w:val="98"/>
      <w:szCs w:val="98"/>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4785</Words>
  <Characters>4966</Characters>
  <TotalTime>6</TotalTime>
  <ScaleCrop>false</ScaleCrop>
  <LinksUpToDate>false</LinksUpToDate>
  <CharactersWithSpaces>5323</CharactersWithSpaces>
  <Application>WPS Office_12.1.0.18912_F1E327BC-269C-435d-A152-05C5408002CA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2026-06-12T03:14:00Z</dcterms:created>
  <dc:creator>Administrator</dc:creator>
  <cp:lastModifiedBy>木鱼</cp:lastModifiedBy>
  <dcterms:modified xsi:type="dcterms:W3CDTF">2026-06-12T06:58:52Z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5E0B7553152D4DACA1809E267A3F41CD_13</vt:lpwstr>
  </property>
</Properties>
</file>